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jc w:val="center"/>
        <w:rPr>
          <w:b/>
          <w:sz w:val="44"/>
          <w:szCs w:val="44"/>
        </w:rPr>
      </w:pPr>
    </w:p>
    <w:p>
      <w:pPr>
        <w:pStyle w:val="8"/>
        <w:spacing w:line="360" w:lineRule="auto"/>
        <w:jc w:val="center"/>
        <w:rPr>
          <w:b/>
          <w:sz w:val="44"/>
          <w:szCs w:val="44"/>
        </w:rPr>
      </w:pPr>
    </w:p>
    <w:p>
      <w:pPr>
        <w:pStyle w:val="8"/>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b/>
          <w:sz w:val="44"/>
          <w:szCs w:val="44"/>
        </w:rPr>
      </w:pPr>
      <w:r>
        <w:rPr>
          <w:rFonts w:hint="eastAsia" w:ascii="宋体" w:hAnsi="宋体" w:eastAsia="宋体" w:cs="宋体"/>
          <w:b/>
          <w:bCs/>
          <w:color w:val="000000"/>
          <w:sz w:val="44"/>
          <w:szCs w:val="44"/>
          <w:lang w:val="en-US" w:eastAsia="zh-CN"/>
        </w:rPr>
        <w:t>2023年沙湾市2023年监测户人居环境整治建设项目自评总结报告</w:t>
      </w:r>
    </w:p>
    <w:p>
      <w:pPr>
        <w:pStyle w:val="8"/>
        <w:spacing w:line="360" w:lineRule="auto"/>
        <w:jc w:val="center"/>
        <w:rPr>
          <w:sz w:val="44"/>
          <w:szCs w:val="44"/>
        </w:rPr>
      </w:pPr>
      <w:r>
        <w:rPr>
          <w:rFonts w:hint="eastAsia"/>
          <w:sz w:val="44"/>
          <w:szCs w:val="44"/>
        </w:rPr>
        <w:t>（</w:t>
      </w:r>
      <w:r>
        <w:rPr>
          <w:rFonts w:hint="eastAsia"/>
          <w:sz w:val="44"/>
          <w:szCs w:val="44"/>
          <w:lang w:eastAsia="zh-CN"/>
        </w:rPr>
        <w:t>2023年</w:t>
      </w:r>
      <w:r>
        <w:rPr>
          <w:rFonts w:hint="eastAsia"/>
          <w:sz w:val="44"/>
          <w:szCs w:val="44"/>
        </w:rPr>
        <w:t>度）</w:t>
      </w:r>
    </w:p>
    <w:p>
      <w:pPr>
        <w:pStyle w:val="8"/>
        <w:spacing w:line="360" w:lineRule="auto"/>
        <w:rPr>
          <w:sz w:val="44"/>
          <w:szCs w:val="44"/>
        </w:rPr>
      </w:pPr>
    </w:p>
    <w:p>
      <w:pPr>
        <w:pStyle w:val="8"/>
        <w:spacing w:line="360" w:lineRule="auto"/>
        <w:rPr>
          <w:sz w:val="44"/>
          <w:szCs w:val="44"/>
        </w:rPr>
      </w:pPr>
    </w:p>
    <w:p>
      <w:pPr>
        <w:pStyle w:val="8"/>
        <w:spacing w:line="360" w:lineRule="auto"/>
        <w:rPr>
          <w:sz w:val="44"/>
          <w:szCs w:val="44"/>
        </w:rPr>
      </w:pPr>
    </w:p>
    <w:p>
      <w:pPr>
        <w:pStyle w:val="18"/>
        <w:spacing w:after="0" w:line="560" w:lineRule="exact"/>
        <w:ind w:left="3958" w:leftChars="342" w:hanging="3240" w:hangingChars="900"/>
        <w:jc w:val="left"/>
        <w:rPr>
          <w:rFonts w:hint="eastAsia"/>
          <w:sz w:val="36"/>
          <w:szCs w:val="36"/>
        </w:rPr>
      </w:pPr>
      <w:r>
        <w:rPr>
          <w:rFonts w:hint="eastAsia"/>
          <w:sz w:val="36"/>
          <w:szCs w:val="36"/>
        </w:rPr>
        <w:t>项</w:t>
      </w:r>
      <w:r>
        <w:rPr>
          <w:sz w:val="36"/>
          <w:szCs w:val="36"/>
        </w:rPr>
        <w:t xml:space="preserve">  </w:t>
      </w:r>
      <w:r>
        <w:rPr>
          <w:rFonts w:hint="eastAsia"/>
          <w:sz w:val="36"/>
          <w:szCs w:val="36"/>
        </w:rPr>
        <w:t>目</w:t>
      </w:r>
      <w:r>
        <w:rPr>
          <w:sz w:val="36"/>
          <w:szCs w:val="36"/>
        </w:rPr>
        <w:t xml:space="preserve">  </w:t>
      </w:r>
      <w:r>
        <w:rPr>
          <w:rFonts w:hint="eastAsia"/>
          <w:sz w:val="36"/>
          <w:szCs w:val="36"/>
        </w:rPr>
        <w:t>名</w:t>
      </w:r>
      <w:r>
        <w:rPr>
          <w:sz w:val="36"/>
          <w:szCs w:val="36"/>
        </w:rPr>
        <w:t xml:space="preserve">  </w:t>
      </w:r>
      <w:r>
        <w:rPr>
          <w:rFonts w:hint="eastAsia"/>
          <w:sz w:val="36"/>
          <w:szCs w:val="36"/>
          <w:lang w:val="en-US" w:eastAsia="zh-CN"/>
        </w:rPr>
        <w:t xml:space="preserve"> </w:t>
      </w:r>
      <w:r>
        <w:rPr>
          <w:rFonts w:hint="eastAsia"/>
          <w:sz w:val="36"/>
          <w:szCs w:val="36"/>
        </w:rPr>
        <w:t>称：</w:t>
      </w:r>
      <w:r>
        <w:rPr>
          <w:rFonts w:hint="eastAsia"/>
          <w:sz w:val="36"/>
          <w:szCs w:val="36"/>
          <w:lang w:val="en-US" w:eastAsia="zh-CN"/>
        </w:rPr>
        <w:t xml:space="preserve"> </w:t>
      </w:r>
      <w:r>
        <w:rPr>
          <w:rFonts w:hint="eastAsia"/>
          <w:sz w:val="36"/>
          <w:szCs w:val="36"/>
        </w:rPr>
        <w:t>沙湾市2023年监测户人居环境整治建设项目</w:t>
      </w:r>
    </w:p>
    <w:p>
      <w:pPr>
        <w:pStyle w:val="8"/>
        <w:spacing w:line="360" w:lineRule="auto"/>
        <w:ind w:firstLine="720" w:firstLineChars="200"/>
        <w:rPr>
          <w:rFonts w:hint="eastAsia"/>
          <w:sz w:val="36"/>
          <w:szCs w:val="36"/>
        </w:rPr>
      </w:pPr>
      <w:r>
        <w:rPr>
          <w:rFonts w:hint="eastAsia"/>
          <w:sz w:val="36"/>
          <w:szCs w:val="36"/>
        </w:rPr>
        <w:t>实施单位（公章）：</w:t>
      </w:r>
      <w:r>
        <w:rPr>
          <w:rFonts w:hint="eastAsia" w:ascii="Calibri" w:hAnsi="Calibri" w:eastAsia="宋体" w:cs="黑体"/>
          <w:kern w:val="2"/>
          <w:sz w:val="36"/>
          <w:szCs w:val="36"/>
          <w:lang w:val="zh-TW" w:eastAsia="zh-TW" w:bidi="zh-TW"/>
        </w:rPr>
        <w:t>沙湾市乡村振兴局</w:t>
      </w:r>
    </w:p>
    <w:p>
      <w:pPr>
        <w:pStyle w:val="8"/>
        <w:spacing w:line="360" w:lineRule="auto"/>
        <w:ind w:left="3958" w:leftChars="342" w:hanging="3240" w:hangingChars="900"/>
        <w:rPr>
          <w:rFonts w:hint="eastAsia" w:ascii="Calibri" w:hAnsi="Calibri" w:eastAsia="宋体" w:cs="黑体"/>
          <w:kern w:val="2"/>
          <w:sz w:val="36"/>
          <w:szCs w:val="36"/>
          <w:lang w:val="en-US" w:eastAsia="zh-CN" w:bidi="zh-TW"/>
        </w:rPr>
      </w:pPr>
      <w:r>
        <w:rPr>
          <w:rFonts w:hint="eastAsia"/>
          <w:sz w:val="36"/>
          <w:szCs w:val="36"/>
        </w:rPr>
        <w:t>主管部门（公章）：</w:t>
      </w:r>
      <w:r>
        <w:rPr>
          <w:rFonts w:hint="eastAsia" w:ascii="Calibri" w:hAnsi="Calibri" w:eastAsia="宋体" w:cs="黑体"/>
          <w:kern w:val="2"/>
          <w:sz w:val="36"/>
          <w:szCs w:val="36"/>
          <w:lang w:val="zh-TW" w:eastAsia="zh-TW" w:bidi="zh-TW"/>
        </w:rPr>
        <w:t>沙湾市委农村工作领导小组暨乡村振兴领导小组</w:t>
      </w:r>
    </w:p>
    <w:p>
      <w:pPr>
        <w:pStyle w:val="8"/>
        <w:spacing w:line="360" w:lineRule="auto"/>
        <w:ind w:firstLine="720" w:firstLineChars="200"/>
        <w:rPr>
          <w:rFonts w:hint="default" w:eastAsia="宋体"/>
          <w:sz w:val="36"/>
          <w:szCs w:val="36"/>
          <w:lang w:val="en-US" w:eastAsia="zh-CN"/>
        </w:rPr>
      </w:pPr>
      <w:r>
        <w:rPr>
          <w:rFonts w:hint="eastAsia"/>
          <w:sz w:val="36"/>
          <w:szCs w:val="36"/>
        </w:rPr>
        <w:t>项目负责人（签章）：</w:t>
      </w:r>
      <w:r>
        <w:rPr>
          <w:rFonts w:hint="eastAsia"/>
          <w:sz w:val="36"/>
          <w:szCs w:val="36"/>
          <w:lang w:val="en-US" w:eastAsia="zh-CN"/>
        </w:rPr>
        <w:t>赵栋</w:t>
      </w:r>
    </w:p>
    <w:p>
      <w:pPr>
        <w:pStyle w:val="8"/>
        <w:spacing w:line="360" w:lineRule="auto"/>
        <w:rPr>
          <w:sz w:val="36"/>
          <w:szCs w:val="36"/>
        </w:rPr>
      </w:pPr>
    </w:p>
    <w:p>
      <w:pPr>
        <w:pStyle w:val="8"/>
        <w:spacing w:line="360" w:lineRule="auto"/>
        <w:ind w:firstLine="360" w:firstLineChars="100"/>
        <w:jc w:val="center"/>
        <w:rPr>
          <w:rFonts w:hint="eastAsia"/>
          <w:color w:val="auto"/>
          <w:sz w:val="36"/>
          <w:szCs w:val="36"/>
          <w:highlight w:val="none"/>
        </w:rPr>
      </w:pPr>
      <w:r>
        <w:rPr>
          <w:rFonts w:hint="eastAsia"/>
          <w:color w:val="auto"/>
          <w:sz w:val="36"/>
          <w:szCs w:val="36"/>
          <w:highlight w:val="none"/>
        </w:rPr>
        <w:t>填报时间：</w:t>
      </w:r>
      <w:r>
        <w:rPr>
          <w:rFonts w:hint="eastAsia"/>
          <w:color w:val="auto"/>
          <w:sz w:val="36"/>
          <w:szCs w:val="36"/>
          <w:highlight w:val="none"/>
          <w:lang w:eastAsia="zh-CN"/>
        </w:rPr>
        <w:t>202</w:t>
      </w:r>
      <w:r>
        <w:rPr>
          <w:rFonts w:hint="eastAsia"/>
          <w:color w:val="auto"/>
          <w:sz w:val="36"/>
          <w:szCs w:val="36"/>
          <w:highlight w:val="none"/>
          <w:lang w:val="en-US" w:eastAsia="zh-CN"/>
        </w:rPr>
        <w:t>4</w:t>
      </w:r>
      <w:r>
        <w:rPr>
          <w:rFonts w:hint="eastAsia"/>
          <w:color w:val="auto"/>
          <w:sz w:val="36"/>
          <w:szCs w:val="36"/>
          <w:highlight w:val="none"/>
          <w:lang w:eastAsia="zh-CN"/>
        </w:rPr>
        <w:t>年</w:t>
      </w:r>
      <w:r>
        <w:rPr>
          <w:rFonts w:hint="eastAsia"/>
          <w:color w:val="auto"/>
          <w:sz w:val="36"/>
          <w:szCs w:val="36"/>
          <w:highlight w:val="none"/>
          <w:lang w:val="en-US" w:eastAsia="zh-CN"/>
        </w:rPr>
        <w:t>2</w:t>
      </w:r>
      <w:r>
        <w:rPr>
          <w:rFonts w:hint="eastAsia"/>
          <w:color w:val="auto"/>
          <w:sz w:val="36"/>
          <w:szCs w:val="36"/>
          <w:highlight w:val="none"/>
        </w:rPr>
        <w:t>月</w:t>
      </w:r>
      <w:r>
        <w:rPr>
          <w:rFonts w:hint="eastAsia"/>
          <w:color w:val="auto"/>
          <w:sz w:val="36"/>
          <w:szCs w:val="36"/>
          <w:highlight w:val="none"/>
          <w:lang w:val="en-US" w:eastAsia="zh-CN"/>
        </w:rPr>
        <w:t>28</w:t>
      </w:r>
      <w:r>
        <w:rPr>
          <w:rFonts w:hint="eastAsia"/>
          <w:color w:val="auto"/>
          <w:sz w:val="36"/>
          <w:szCs w:val="36"/>
          <w:highlight w:val="none"/>
        </w:rPr>
        <w:t>日</w:t>
      </w:r>
    </w:p>
    <w:p>
      <w:pPr>
        <w:pStyle w:val="8"/>
        <w:spacing w:line="360" w:lineRule="auto"/>
        <w:ind w:firstLine="360" w:firstLineChars="100"/>
        <w:jc w:val="center"/>
        <w:rPr>
          <w:rFonts w:hint="eastAsia"/>
          <w:color w:val="auto"/>
          <w:sz w:val="36"/>
          <w:szCs w:val="36"/>
          <w:highlight w:val="none"/>
        </w:rPr>
      </w:pPr>
    </w:p>
    <w:p>
      <w:pPr>
        <w:pStyle w:val="8"/>
        <w:keepNext w:val="0"/>
        <w:keepLines w:val="0"/>
        <w:pageBreakBefore w:val="0"/>
        <w:widowControl w:val="0"/>
        <w:kinsoku/>
        <w:wordWrap/>
        <w:overflowPunct/>
        <w:topLinePunct w:val="0"/>
        <w:autoSpaceDE/>
        <w:autoSpaceDN/>
        <w:bidi w:val="0"/>
        <w:adjustRightInd/>
        <w:snapToGrid w:val="0"/>
        <w:spacing w:line="520" w:lineRule="exact"/>
        <w:jc w:val="center"/>
        <w:textAlignment w:val="auto"/>
        <w:rPr>
          <w:rFonts w:hint="eastAsia" w:ascii="方正小标宋_GBK" w:hAnsi="方正小标宋_GBK" w:eastAsia="方正小标宋_GBK" w:cs="方正小标宋_GBK"/>
          <w:b/>
          <w:bCs/>
          <w:color w:val="000000"/>
          <w:sz w:val="44"/>
          <w:szCs w:val="44"/>
          <w:lang w:val="en-US" w:eastAsia="zh-CN"/>
        </w:rPr>
      </w:pPr>
      <w:r>
        <w:rPr>
          <w:rFonts w:hint="eastAsia" w:ascii="方正小标宋_GBK" w:hAnsi="方正小标宋_GBK" w:eastAsia="方正小标宋_GBK" w:cs="方正小标宋_GBK"/>
          <w:b/>
          <w:bCs/>
          <w:color w:val="000000"/>
          <w:sz w:val="44"/>
          <w:szCs w:val="44"/>
          <w:lang w:val="en-US" w:eastAsia="zh-CN"/>
        </w:rPr>
        <w:t>2023年沙湾市2023年监测户人居环境整治建设项目自评总结报告</w:t>
      </w:r>
    </w:p>
    <w:p>
      <w:pPr>
        <w:pStyle w:val="8"/>
        <w:keepNext w:val="0"/>
        <w:keepLines w:val="0"/>
        <w:pageBreakBefore w:val="0"/>
        <w:widowControl w:val="0"/>
        <w:kinsoku/>
        <w:wordWrap/>
        <w:overflowPunct/>
        <w:topLinePunct w:val="0"/>
        <w:autoSpaceDE/>
        <w:autoSpaceDN/>
        <w:bidi w:val="0"/>
        <w:adjustRightInd/>
        <w:snapToGrid w:val="0"/>
        <w:spacing w:line="520" w:lineRule="exact"/>
        <w:jc w:val="center"/>
        <w:textAlignment w:val="auto"/>
        <w:rPr>
          <w:rFonts w:hint="eastAsia" w:ascii="方正小标宋_GBK" w:hAnsi="方正小标宋_GBK" w:eastAsia="方正小标宋_GBK" w:cs="方正小标宋_GBK"/>
          <w:b/>
          <w:bCs/>
          <w:color w:val="000000"/>
          <w:sz w:val="44"/>
          <w:szCs w:val="44"/>
          <w:lang w:val="en-US" w:eastAsia="zh-CN"/>
        </w:rPr>
      </w:pPr>
    </w:p>
    <w:p>
      <w:pPr>
        <w:pStyle w:val="8"/>
        <w:keepNext w:val="0"/>
        <w:keepLines w:val="0"/>
        <w:pageBreakBefore w:val="0"/>
        <w:widowControl w:val="0"/>
        <w:kinsoku/>
        <w:wordWrap/>
        <w:overflowPunct/>
        <w:topLinePunct w:val="0"/>
        <w:autoSpaceDE/>
        <w:autoSpaceDN/>
        <w:bidi w:val="0"/>
        <w:adjustRightInd/>
        <w:snapToGrid w:val="0"/>
        <w:spacing w:line="520" w:lineRule="exact"/>
        <w:ind w:firstLine="161" w:firstLineChars="50"/>
        <w:textAlignment w:val="auto"/>
        <w:outlineLvl w:val="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一、绩效目标分解下达情况</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w:t>
      </w:r>
      <w:r>
        <w:rPr>
          <w:rFonts w:hint="eastAsia" w:ascii="仿宋_GB2312" w:hAnsi="仿宋_GB2312" w:eastAsia="仿宋_GB2312" w:cs="仿宋_GB2312"/>
          <w:b/>
          <w:color w:val="auto"/>
          <w:sz w:val="32"/>
          <w:szCs w:val="32"/>
          <w:lang w:eastAsia="zh-CN"/>
        </w:rPr>
        <w:t>财政衔接推进乡村振兴</w:t>
      </w:r>
      <w:r>
        <w:rPr>
          <w:rFonts w:hint="eastAsia" w:ascii="仿宋_GB2312" w:hAnsi="仿宋_GB2312" w:eastAsia="仿宋_GB2312" w:cs="仿宋_GB2312"/>
          <w:b/>
          <w:color w:val="auto"/>
          <w:sz w:val="32"/>
          <w:szCs w:val="32"/>
          <w:lang w:val="en-US" w:eastAsia="zh-CN"/>
        </w:rPr>
        <w:t>补助</w:t>
      </w:r>
      <w:r>
        <w:rPr>
          <w:rFonts w:hint="eastAsia" w:ascii="仿宋_GB2312" w:hAnsi="仿宋_GB2312" w:eastAsia="仿宋_GB2312" w:cs="仿宋_GB2312"/>
          <w:b/>
          <w:color w:val="auto"/>
          <w:sz w:val="32"/>
          <w:szCs w:val="32"/>
          <w:lang w:eastAsia="zh-CN"/>
        </w:rPr>
        <w:t>资金</w:t>
      </w:r>
      <w:r>
        <w:rPr>
          <w:rFonts w:hint="eastAsia" w:ascii="仿宋_GB2312" w:hAnsi="仿宋_GB2312" w:eastAsia="仿宋_GB2312" w:cs="仿宋_GB2312"/>
          <w:b/>
          <w:color w:val="auto"/>
          <w:sz w:val="32"/>
          <w:szCs w:val="32"/>
        </w:rPr>
        <w:t>下达预算及项目情况</w:t>
      </w:r>
    </w:p>
    <w:p>
      <w:pPr>
        <w:pStyle w:val="8"/>
        <w:keepNext w:val="0"/>
        <w:keepLines w:val="0"/>
        <w:pageBreakBefore w:val="0"/>
        <w:widowControl w:val="0"/>
        <w:kinsoku/>
        <w:wordWrap/>
        <w:overflowPunct/>
        <w:topLinePunct w:val="0"/>
        <w:autoSpaceDE/>
        <w:autoSpaceDN/>
        <w:bidi w:val="0"/>
        <w:adjustRightInd/>
        <w:spacing w:line="520" w:lineRule="exact"/>
        <w:ind w:firstLine="643"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1.下达预算情况</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本项目合计下达资金</w:t>
      </w:r>
      <w:r>
        <w:rPr>
          <w:rFonts w:hint="eastAsia" w:ascii="仿宋_GB2312" w:hAnsi="仿宋_GB2312" w:eastAsia="仿宋_GB2312" w:cs="仿宋_GB2312"/>
          <w:sz w:val="32"/>
          <w:szCs w:val="32"/>
          <w:highlight w:val="none"/>
          <w:lang w:val="en-US" w:eastAsia="zh-CN"/>
        </w:rPr>
        <w:t>50万元，其中自治区衔接资金50万元</w:t>
      </w:r>
      <w:r>
        <w:rPr>
          <w:rFonts w:hint="eastAsia" w:ascii="仿宋_GB2312" w:hAnsi="仿宋_GB2312" w:eastAsia="仿宋_GB2312" w:cs="仿宋_GB2312"/>
          <w:sz w:val="32"/>
          <w:szCs w:val="32"/>
          <w:highlight w:val="none"/>
        </w:rPr>
        <w:t>。具体如下：</w:t>
      </w:r>
    </w:p>
    <w:p>
      <w:pPr>
        <w:keepNext w:val="0"/>
        <w:keepLines w:val="0"/>
        <w:pageBreakBefore w:val="0"/>
        <w:widowControl w:val="0"/>
        <w:kinsoku/>
        <w:wordWrap/>
        <w:overflowPunct/>
        <w:topLinePunct w:val="0"/>
        <w:autoSpaceDE/>
        <w:autoSpaceDN/>
        <w:bidi w:val="0"/>
        <w:adjustRightInd/>
        <w:snapToGrid/>
        <w:spacing w:line="520" w:lineRule="exact"/>
        <w:ind w:left="0" w:firstLine="624" w:firstLineChars="200"/>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spacing w:val="-4"/>
          <w:sz w:val="32"/>
          <w:szCs w:val="32"/>
          <w:highlight w:val="none"/>
        </w:rPr>
        <w:t>根据</w:t>
      </w:r>
      <w:r>
        <w:rPr>
          <w:rStyle w:val="11"/>
          <w:rFonts w:hint="eastAsia" w:ascii="仿宋_GB2312" w:hAnsi="仿宋_GB2312" w:eastAsia="仿宋_GB2312" w:cs="仿宋_GB2312"/>
          <w:b w:val="0"/>
          <w:bCs w:val="0"/>
          <w:spacing w:val="-4"/>
          <w:sz w:val="32"/>
          <w:szCs w:val="32"/>
          <w:highlight w:val="none"/>
          <w:lang w:val="en-US" w:eastAsia="zh-CN"/>
        </w:rPr>
        <w:t>沙湾市财政局</w:t>
      </w:r>
      <w:r>
        <w:rPr>
          <w:rFonts w:hint="eastAsia" w:ascii="仿宋_GB2312" w:hAnsi="仿宋_GB2312" w:eastAsia="仿宋_GB2312" w:cs="仿宋_GB2312"/>
          <w:spacing w:val="9"/>
          <w:sz w:val="32"/>
          <w:szCs w:val="32"/>
          <w:highlight w:val="none"/>
          <w:lang w:eastAsia="zh-CN"/>
        </w:rPr>
        <w:t>《</w:t>
      </w:r>
      <w:r>
        <w:rPr>
          <w:rFonts w:hint="eastAsia" w:ascii="仿宋_GB2312" w:hAnsi="仿宋_GB2312" w:eastAsia="仿宋_GB2312" w:cs="仿宋_GB2312"/>
          <w:spacing w:val="9"/>
          <w:sz w:val="32"/>
          <w:szCs w:val="32"/>
          <w:highlight w:val="none"/>
        </w:rPr>
        <w:t>关于提前下达2023年自治区财政衔接推进乡村振兴补助资金预算的通知</w:t>
      </w:r>
      <w:r>
        <w:rPr>
          <w:rFonts w:hint="eastAsia" w:ascii="仿宋_GB2312" w:hAnsi="仿宋_GB2312" w:eastAsia="仿宋_GB2312" w:cs="仿宋_GB2312"/>
          <w:spacing w:val="9"/>
          <w:sz w:val="32"/>
          <w:szCs w:val="32"/>
          <w:highlight w:val="none"/>
          <w:lang w:eastAsia="zh-CN"/>
        </w:rPr>
        <w:t>》（</w:t>
      </w:r>
      <w:r>
        <w:rPr>
          <w:rFonts w:hint="eastAsia" w:ascii="仿宋_GB2312" w:hAnsi="仿宋_GB2312" w:eastAsia="仿宋_GB2312" w:cs="仿宋_GB2312"/>
          <w:spacing w:val="9"/>
          <w:sz w:val="32"/>
          <w:szCs w:val="32"/>
          <w:highlight w:val="none"/>
          <w:lang w:val="en-US" w:eastAsia="zh-CN"/>
        </w:rPr>
        <w:t>沙财振</w:t>
      </w:r>
      <w:r>
        <w:rPr>
          <w:rFonts w:hint="eastAsia" w:ascii="仿宋_GB2312" w:hAnsi="仿宋_GB2312" w:eastAsia="仿宋_GB2312" w:cs="仿宋_GB2312"/>
          <w:spacing w:val="9"/>
          <w:sz w:val="32"/>
          <w:szCs w:val="32"/>
          <w:highlight w:val="none"/>
        </w:rPr>
        <w:t>[202</w:t>
      </w:r>
      <w:r>
        <w:rPr>
          <w:rFonts w:hint="eastAsia" w:ascii="仿宋_GB2312" w:hAnsi="仿宋_GB2312" w:eastAsia="仿宋_GB2312" w:cs="仿宋_GB2312"/>
          <w:spacing w:val="9"/>
          <w:sz w:val="32"/>
          <w:szCs w:val="32"/>
          <w:highlight w:val="none"/>
          <w:lang w:val="en-US" w:eastAsia="zh-CN"/>
        </w:rPr>
        <w:t>3</w:t>
      </w:r>
      <w:r>
        <w:rPr>
          <w:rFonts w:hint="eastAsia" w:ascii="仿宋_GB2312" w:hAnsi="仿宋_GB2312" w:eastAsia="仿宋_GB2312" w:cs="仿宋_GB2312"/>
          <w:spacing w:val="9"/>
          <w:sz w:val="32"/>
          <w:szCs w:val="32"/>
          <w:highlight w:val="none"/>
        </w:rPr>
        <w:t>]</w:t>
      </w:r>
      <w:r>
        <w:rPr>
          <w:rFonts w:hint="eastAsia" w:ascii="仿宋_GB2312" w:hAnsi="仿宋_GB2312" w:eastAsia="仿宋_GB2312" w:cs="仿宋_GB2312"/>
          <w:spacing w:val="9"/>
          <w:sz w:val="32"/>
          <w:szCs w:val="32"/>
          <w:highlight w:val="none"/>
          <w:lang w:val="en-US" w:eastAsia="zh-CN"/>
        </w:rPr>
        <w:t>4</w:t>
      </w:r>
      <w:r>
        <w:rPr>
          <w:rFonts w:hint="eastAsia" w:ascii="仿宋_GB2312" w:hAnsi="仿宋_GB2312" w:eastAsia="仿宋_GB2312" w:cs="仿宋_GB2312"/>
          <w:spacing w:val="9"/>
          <w:sz w:val="32"/>
          <w:szCs w:val="32"/>
          <w:highlight w:val="none"/>
        </w:rPr>
        <w:t>号</w:t>
      </w:r>
      <w:r>
        <w:rPr>
          <w:rFonts w:hint="eastAsia" w:ascii="仿宋_GB2312" w:hAnsi="仿宋_GB2312" w:eastAsia="仿宋_GB2312" w:cs="仿宋_GB2312"/>
          <w:spacing w:val="9"/>
          <w:sz w:val="32"/>
          <w:szCs w:val="32"/>
          <w:highlight w:val="none"/>
          <w:lang w:eastAsia="zh-CN"/>
        </w:rPr>
        <w:t>）</w:t>
      </w:r>
      <w:r>
        <w:rPr>
          <w:rFonts w:hint="eastAsia" w:ascii="仿宋_GB2312" w:hAnsi="仿宋_GB2312" w:eastAsia="仿宋_GB2312" w:cs="仿宋_GB2312"/>
          <w:spacing w:val="9"/>
          <w:sz w:val="32"/>
          <w:szCs w:val="32"/>
          <w:highlight w:val="none"/>
        </w:rPr>
        <w:t>提前下达</w:t>
      </w:r>
      <w:r>
        <w:rPr>
          <w:rFonts w:hint="eastAsia" w:ascii="仿宋_GB2312" w:hAnsi="仿宋_GB2312" w:eastAsia="仿宋_GB2312" w:cs="仿宋_GB2312"/>
          <w:spacing w:val="9"/>
          <w:sz w:val="32"/>
          <w:szCs w:val="32"/>
          <w:highlight w:val="none"/>
          <w:lang w:val="en-US" w:eastAsia="zh-CN"/>
        </w:rPr>
        <w:t>自治区财政衔接资金32.13万元；</w:t>
      </w:r>
      <w:r>
        <w:rPr>
          <w:rStyle w:val="11"/>
          <w:rFonts w:hint="eastAsia" w:ascii="仿宋_GB2312" w:hAnsi="仿宋_GB2312" w:eastAsia="仿宋_GB2312" w:cs="仿宋_GB2312"/>
          <w:b w:val="0"/>
          <w:bCs w:val="0"/>
          <w:spacing w:val="-4"/>
          <w:sz w:val="32"/>
          <w:szCs w:val="32"/>
          <w:highlight w:val="none"/>
          <w:lang w:val="en-US" w:eastAsia="zh-CN"/>
        </w:rPr>
        <w:t>沙湾市财政局</w:t>
      </w:r>
      <w:r>
        <w:rPr>
          <w:rFonts w:hint="eastAsia" w:ascii="仿宋_GB2312" w:hAnsi="仿宋_GB2312" w:eastAsia="仿宋_GB2312" w:cs="仿宋_GB2312"/>
          <w:spacing w:val="9"/>
          <w:sz w:val="32"/>
          <w:szCs w:val="32"/>
          <w:highlight w:val="none"/>
        </w:rPr>
        <w:t>《关于下达 2023 年自治区财政衔接推进乡村振兴补助资金预算的通知》（</w:t>
      </w:r>
      <w:r>
        <w:rPr>
          <w:rFonts w:hint="eastAsia" w:ascii="仿宋_GB2312" w:hAnsi="仿宋_GB2312" w:eastAsia="仿宋_GB2312" w:cs="仿宋_GB2312"/>
          <w:spacing w:val="9"/>
          <w:sz w:val="32"/>
          <w:szCs w:val="32"/>
          <w:highlight w:val="none"/>
          <w:lang w:val="en-US" w:eastAsia="zh-CN"/>
        </w:rPr>
        <w:t>沙财振</w:t>
      </w:r>
      <w:r>
        <w:rPr>
          <w:rFonts w:hint="eastAsia" w:ascii="仿宋_GB2312" w:hAnsi="仿宋_GB2312" w:eastAsia="仿宋_GB2312" w:cs="仿宋_GB2312"/>
          <w:spacing w:val="9"/>
          <w:sz w:val="32"/>
          <w:szCs w:val="32"/>
          <w:highlight w:val="none"/>
        </w:rPr>
        <w:t>[202</w:t>
      </w:r>
      <w:r>
        <w:rPr>
          <w:rFonts w:hint="eastAsia" w:ascii="仿宋_GB2312" w:hAnsi="仿宋_GB2312" w:eastAsia="仿宋_GB2312" w:cs="仿宋_GB2312"/>
          <w:spacing w:val="9"/>
          <w:sz w:val="32"/>
          <w:szCs w:val="32"/>
          <w:highlight w:val="none"/>
          <w:lang w:val="en-US" w:eastAsia="zh-CN"/>
        </w:rPr>
        <w:t>3</w:t>
      </w:r>
      <w:r>
        <w:rPr>
          <w:rFonts w:hint="eastAsia" w:ascii="仿宋_GB2312" w:hAnsi="仿宋_GB2312" w:eastAsia="仿宋_GB2312" w:cs="仿宋_GB2312"/>
          <w:spacing w:val="9"/>
          <w:sz w:val="32"/>
          <w:szCs w:val="32"/>
          <w:highlight w:val="none"/>
        </w:rPr>
        <w:t>]</w:t>
      </w:r>
      <w:r>
        <w:rPr>
          <w:rFonts w:hint="eastAsia" w:ascii="仿宋_GB2312" w:hAnsi="仿宋_GB2312" w:eastAsia="仿宋_GB2312" w:cs="仿宋_GB2312"/>
          <w:spacing w:val="9"/>
          <w:sz w:val="32"/>
          <w:szCs w:val="32"/>
          <w:highlight w:val="none"/>
          <w:lang w:val="en-US" w:eastAsia="zh-CN"/>
        </w:rPr>
        <w:t>1</w:t>
      </w:r>
      <w:r>
        <w:rPr>
          <w:rFonts w:hint="eastAsia" w:ascii="仿宋_GB2312" w:hAnsi="仿宋_GB2312" w:eastAsia="仿宋_GB2312" w:cs="仿宋_GB2312"/>
          <w:spacing w:val="9"/>
          <w:sz w:val="32"/>
          <w:szCs w:val="32"/>
          <w:highlight w:val="none"/>
        </w:rPr>
        <w:t>号）</w:t>
      </w:r>
      <w:r>
        <w:rPr>
          <w:rFonts w:hint="eastAsia" w:ascii="仿宋_GB2312" w:hAnsi="仿宋_GB2312" w:eastAsia="仿宋_GB2312" w:cs="仿宋_GB2312"/>
          <w:spacing w:val="9"/>
          <w:sz w:val="32"/>
          <w:szCs w:val="32"/>
          <w:highlight w:val="none"/>
          <w:lang w:val="en-US" w:eastAsia="zh-CN"/>
        </w:rPr>
        <w:t>下达自治区财政衔接资金17.87万元。两次合计下达</w:t>
      </w:r>
      <w:r>
        <w:rPr>
          <w:rStyle w:val="11"/>
          <w:rFonts w:hint="eastAsia" w:ascii="仿宋_GB2312" w:hAnsi="仿宋_GB2312" w:eastAsia="仿宋_GB2312" w:cs="仿宋_GB2312"/>
          <w:b w:val="0"/>
          <w:bCs w:val="0"/>
          <w:spacing w:val="-4"/>
          <w:sz w:val="32"/>
          <w:szCs w:val="32"/>
          <w:highlight w:val="none"/>
          <w:lang w:val="en-US" w:eastAsia="zh-CN"/>
        </w:rPr>
        <w:t>自治区衔接资金</w:t>
      </w:r>
      <w:r>
        <w:rPr>
          <w:rFonts w:hint="eastAsia" w:ascii="仿宋_GB2312" w:hAnsi="仿宋_GB2312" w:eastAsia="仿宋_GB2312" w:cs="仿宋_GB2312"/>
          <w:sz w:val="32"/>
          <w:szCs w:val="32"/>
          <w:highlight w:val="none"/>
          <w:lang w:val="en-US" w:eastAsia="zh-CN"/>
        </w:rPr>
        <w:t>50</w:t>
      </w:r>
      <w:r>
        <w:rPr>
          <w:rStyle w:val="11"/>
          <w:rFonts w:hint="eastAsia" w:ascii="仿宋_GB2312" w:hAnsi="仿宋_GB2312" w:eastAsia="仿宋_GB2312" w:cs="仿宋_GB2312"/>
          <w:b w:val="0"/>
          <w:bCs w:val="0"/>
          <w:spacing w:val="-4"/>
          <w:sz w:val="32"/>
          <w:szCs w:val="32"/>
          <w:highlight w:val="none"/>
          <w:lang w:val="en-US" w:eastAsia="zh-CN"/>
        </w:rPr>
        <w:t>万元。</w:t>
      </w:r>
    </w:p>
    <w:p>
      <w:pPr>
        <w:pStyle w:val="8"/>
        <w:keepNext w:val="0"/>
        <w:keepLines w:val="0"/>
        <w:pageBreakBefore w:val="0"/>
        <w:widowControl w:val="0"/>
        <w:numPr>
          <w:ilvl w:val="0"/>
          <w:numId w:val="1"/>
        </w:numPr>
        <w:kinsoku/>
        <w:wordWrap/>
        <w:overflowPunct/>
        <w:topLinePunct w:val="0"/>
        <w:autoSpaceDE/>
        <w:autoSpaceDN/>
        <w:bidi w:val="0"/>
        <w:adjustRightInd/>
        <w:spacing w:line="520" w:lineRule="exact"/>
        <w:ind w:firstLine="643"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项目情况</w:t>
      </w:r>
    </w:p>
    <w:p>
      <w:pPr>
        <w:pStyle w:val="18"/>
        <w:keepNext w:val="0"/>
        <w:keepLines w:val="0"/>
        <w:pageBreakBefore w:val="0"/>
        <w:widowControl w:val="0"/>
        <w:kinsoku/>
        <w:wordWrap/>
        <w:overflowPunct/>
        <w:topLinePunct w:val="0"/>
        <w:autoSpaceDE/>
        <w:autoSpaceDN/>
        <w:bidi w:val="0"/>
        <w:adjustRightInd/>
        <w:spacing w:after="0" w:line="52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根据我市</w:t>
      </w:r>
      <w:r>
        <w:rPr>
          <w:rFonts w:hint="eastAsia" w:ascii="仿宋_GB2312" w:hAnsi="仿宋_GB2312" w:eastAsia="仿宋_GB2312" w:cs="仿宋_GB2312"/>
          <w:color w:val="auto"/>
          <w:sz w:val="32"/>
          <w:szCs w:val="32"/>
          <w:lang w:eastAsia="zh-CN"/>
        </w:rPr>
        <w:t>财政衔接推进乡村振兴补助资金</w:t>
      </w:r>
      <w:r>
        <w:rPr>
          <w:rFonts w:hint="eastAsia" w:ascii="仿宋_GB2312" w:hAnsi="仿宋_GB2312" w:eastAsia="仿宋_GB2312" w:cs="仿宋_GB2312"/>
          <w:color w:val="auto"/>
          <w:sz w:val="32"/>
          <w:szCs w:val="32"/>
        </w:rPr>
        <w:t>安排，该项目主要</w:t>
      </w:r>
      <w:r>
        <w:rPr>
          <w:rFonts w:hint="eastAsia" w:ascii="仿宋_GB2312" w:hAnsi="仿宋_GB2312" w:eastAsia="仿宋_GB2312" w:cs="仿宋_GB2312"/>
          <w:color w:val="auto"/>
          <w:sz w:val="32"/>
          <w:szCs w:val="32"/>
          <w:lang w:val="en-US" w:eastAsia="zh-CN"/>
        </w:rPr>
        <w:t>是</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en-US" w:eastAsia="zh-CN"/>
        </w:rPr>
        <w:t>博尔通古乡、西戈壁镇、乌兰乌苏镇三个乡镇4户监测户进行人居环境整治项目</w:t>
      </w:r>
    </w:p>
    <w:p>
      <w:pPr>
        <w:keepNext w:val="0"/>
        <w:keepLines w:val="0"/>
        <w:pageBreakBefore w:val="0"/>
        <w:widowControl w:val="0"/>
        <w:kinsoku/>
        <w:wordWrap/>
        <w:overflowPunct/>
        <w:topLinePunct w:val="0"/>
        <w:autoSpaceDE/>
        <w:autoSpaceDN/>
        <w:bidi w:val="0"/>
        <w:adjustRightInd w:val="0"/>
        <w:snapToGrid w:val="0"/>
        <w:spacing w:line="520" w:lineRule="exact"/>
        <w:ind w:firstLine="676" w:firstLineChars="200"/>
        <w:jc w:val="both"/>
        <w:textAlignment w:val="auto"/>
        <w:rPr>
          <w:rFonts w:hint="eastAsia" w:ascii="仿宋_GB2312" w:hAnsi="仿宋_GB2312" w:eastAsia="仿宋_GB2312" w:cs="仿宋_GB2312"/>
          <w:spacing w:val="9"/>
          <w:sz w:val="32"/>
          <w:szCs w:val="32"/>
          <w:highlight w:val="none"/>
          <w:lang w:val="en-US" w:eastAsia="zh-CN"/>
        </w:rPr>
      </w:pPr>
      <w:r>
        <w:rPr>
          <w:rFonts w:hint="eastAsia" w:ascii="仿宋_GB2312" w:hAnsi="仿宋_GB2312" w:eastAsia="仿宋_GB2312" w:cs="仿宋_GB2312"/>
          <w:spacing w:val="9"/>
          <w:sz w:val="32"/>
          <w:szCs w:val="32"/>
          <w:highlight w:val="none"/>
          <w:lang w:val="en-US" w:eastAsia="zh-CN"/>
        </w:rPr>
        <w:t>沙湾市农村工作领导小组暨乡村振兴</w:t>
      </w:r>
      <w:r>
        <w:rPr>
          <w:rFonts w:hint="eastAsia" w:ascii="仿宋_GB2312" w:hAnsi="仿宋_GB2312" w:eastAsia="仿宋_GB2312" w:cs="仿宋_GB2312"/>
          <w:spacing w:val="9"/>
          <w:sz w:val="32"/>
          <w:szCs w:val="32"/>
          <w:highlight w:val="none"/>
        </w:rPr>
        <w:t>领导小组</w:t>
      </w:r>
      <w:r>
        <w:rPr>
          <w:rStyle w:val="11"/>
          <w:rFonts w:hint="eastAsia" w:ascii="仿宋_GB2312" w:hAnsi="仿宋_GB2312" w:eastAsia="仿宋_GB2312" w:cs="仿宋_GB2312"/>
          <w:b w:val="0"/>
          <w:bCs w:val="0"/>
          <w:spacing w:val="-4"/>
          <w:sz w:val="32"/>
          <w:szCs w:val="32"/>
          <w:highlight w:val="none"/>
          <w:lang w:val="en-US" w:eastAsia="zh-CN"/>
        </w:rPr>
        <w:t>于</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年</w:t>
      </w:r>
      <w:r>
        <w:rPr>
          <w:rFonts w:hint="eastAsia" w:ascii="仿宋_GB2312" w:hAnsi="仿宋_GB2312" w:eastAsia="仿宋_GB2312" w:cs="仿宋_GB2312"/>
          <w:spacing w:val="9"/>
          <w:sz w:val="32"/>
          <w:szCs w:val="32"/>
          <w:highlight w:val="none"/>
          <w:lang w:val="en-US" w:eastAsia="zh-CN"/>
        </w:rPr>
        <w:t>5</w:t>
      </w:r>
      <w:r>
        <w:rPr>
          <w:rFonts w:hint="eastAsia" w:ascii="仿宋_GB2312" w:hAnsi="仿宋_GB2312" w:eastAsia="仿宋_GB2312" w:cs="仿宋_GB2312"/>
          <w:spacing w:val="9"/>
          <w:sz w:val="32"/>
          <w:szCs w:val="32"/>
          <w:highlight w:val="none"/>
        </w:rPr>
        <w:t>月</w:t>
      </w:r>
      <w:r>
        <w:rPr>
          <w:rFonts w:hint="eastAsia" w:ascii="仿宋_GB2312" w:hAnsi="仿宋_GB2312" w:eastAsia="仿宋_GB2312" w:cs="仿宋_GB2312"/>
          <w:spacing w:val="9"/>
          <w:sz w:val="32"/>
          <w:szCs w:val="32"/>
          <w:highlight w:val="none"/>
          <w:lang w:val="en-US" w:eastAsia="zh-CN"/>
        </w:rPr>
        <w:t>26</w:t>
      </w:r>
      <w:r>
        <w:rPr>
          <w:rFonts w:hint="eastAsia" w:ascii="仿宋_GB2312" w:hAnsi="仿宋_GB2312" w:eastAsia="仿宋_GB2312" w:cs="仿宋_GB2312"/>
          <w:spacing w:val="9"/>
          <w:sz w:val="32"/>
          <w:szCs w:val="32"/>
          <w:highlight w:val="none"/>
        </w:rPr>
        <w:t>日</w:t>
      </w:r>
      <w:r>
        <w:rPr>
          <w:rFonts w:hint="eastAsia" w:ascii="仿宋_GB2312" w:hAnsi="仿宋_GB2312" w:eastAsia="仿宋_GB2312" w:cs="仿宋_GB2312"/>
          <w:spacing w:val="9"/>
          <w:sz w:val="32"/>
          <w:szCs w:val="32"/>
          <w:highlight w:val="none"/>
          <w:lang w:val="en-US" w:eastAsia="zh-CN"/>
        </w:rPr>
        <w:t>下发《关于沙湾市 2023 年监测户人居环境整治建设项目实施方案的批复》</w:t>
      </w:r>
      <w:r>
        <w:rPr>
          <w:rFonts w:hint="eastAsia" w:ascii="仿宋_GB2312" w:hAnsi="仿宋_GB2312" w:eastAsia="仿宋_GB2312" w:cs="仿宋_GB2312"/>
          <w:spacing w:val="9"/>
          <w:sz w:val="32"/>
          <w:szCs w:val="32"/>
          <w:highlight w:val="none"/>
        </w:rPr>
        <w:t>（</w:t>
      </w:r>
      <w:r>
        <w:rPr>
          <w:rFonts w:hint="eastAsia" w:ascii="仿宋_GB2312" w:hAnsi="仿宋_GB2312" w:eastAsia="仿宋_GB2312" w:cs="仿宋_GB2312"/>
          <w:spacing w:val="9"/>
          <w:sz w:val="32"/>
          <w:szCs w:val="32"/>
          <w:highlight w:val="none"/>
          <w:lang w:val="en-US" w:eastAsia="zh-CN"/>
        </w:rPr>
        <w:t>沙党农领字</w:t>
      </w:r>
      <w:r>
        <w:rPr>
          <w:rFonts w:hint="eastAsia" w:ascii="仿宋_GB2312" w:hAnsi="仿宋_GB2312" w:eastAsia="仿宋_GB2312" w:cs="仿宋_GB2312"/>
          <w:spacing w:val="9"/>
          <w:sz w:val="32"/>
          <w:szCs w:val="32"/>
          <w:highlight w:val="none"/>
        </w:rPr>
        <w:t>[202</w:t>
      </w:r>
      <w:r>
        <w:rPr>
          <w:rFonts w:hint="eastAsia" w:ascii="仿宋_GB2312" w:hAnsi="仿宋_GB2312" w:eastAsia="仿宋_GB2312" w:cs="仿宋_GB2312"/>
          <w:spacing w:val="9"/>
          <w:sz w:val="32"/>
          <w:szCs w:val="32"/>
          <w:highlight w:val="none"/>
          <w:lang w:val="en-US" w:eastAsia="zh-CN"/>
        </w:rPr>
        <w:t>3</w:t>
      </w:r>
      <w:r>
        <w:rPr>
          <w:rFonts w:hint="eastAsia" w:ascii="仿宋_GB2312" w:hAnsi="仿宋_GB2312" w:eastAsia="仿宋_GB2312" w:cs="仿宋_GB2312"/>
          <w:spacing w:val="9"/>
          <w:sz w:val="32"/>
          <w:szCs w:val="32"/>
          <w:highlight w:val="none"/>
        </w:rPr>
        <w:t>]</w:t>
      </w:r>
      <w:r>
        <w:rPr>
          <w:rFonts w:hint="eastAsia" w:ascii="仿宋_GB2312" w:hAnsi="仿宋_GB2312" w:eastAsia="仿宋_GB2312" w:cs="仿宋_GB2312"/>
          <w:spacing w:val="9"/>
          <w:sz w:val="32"/>
          <w:szCs w:val="32"/>
          <w:highlight w:val="none"/>
          <w:lang w:val="en-US" w:eastAsia="zh-CN"/>
        </w:rPr>
        <w:t>13</w:t>
      </w:r>
      <w:r>
        <w:rPr>
          <w:rFonts w:hint="eastAsia" w:ascii="仿宋_GB2312" w:hAnsi="仿宋_GB2312" w:eastAsia="仿宋_GB2312" w:cs="仿宋_GB2312"/>
          <w:spacing w:val="9"/>
          <w:sz w:val="32"/>
          <w:szCs w:val="32"/>
          <w:highlight w:val="none"/>
        </w:rPr>
        <w:t>号）</w:t>
      </w:r>
      <w:r>
        <w:rPr>
          <w:rFonts w:hint="eastAsia" w:ascii="仿宋_GB2312" w:hAnsi="仿宋_GB2312" w:eastAsia="仿宋_GB2312" w:cs="仿宋_GB2312"/>
          <w:spacing w:val="9"/>
          <w:sz w:val="32"/>
          <w:szCs w:val="32"/>
          <w:highlight w:val="none"/>
          <w:lang w:eastAsia="zh-CN"/>
        </w:rPr>
        <w:t>批复该项目实施方案。</w:t>
      </w:r>
    </w:p>
    <w:p>
      <w:pPr>
        <w:pStyle w:val="18"/>
        <w:keepNext w:val="0"/>
        <w:keepLines w:val="0"/>
        <w:pageBreakBefore w:val="0"/>
        <w:widowControl w:val="0"/>
        <w:kinsoku/>
        <w:wordWrap/>
        <w:overflowPunct/>
        <w:topLinePunct w:val="0"/>
        <w:autoSpaceDE/>
        <w:autoSpaceDN/>
        <w:bidi w:val="0"/>
        <w:adjustRightInd/>
        <w:spacing w:after="0" w:line="520" w:lineRule="exact"/>
        <w:jc w:val="both"/>
        <w:textAlignment w:val="auto"/>
        <w:rPr>
          <w:rFonts w:hint="eastAsia" w:ascii="仿宋_GB2312" w:hAnsi="仿宋_GB2312" w:eastAsia="仿宋_GB2312" w:cs="仿宋_GB2312"/>
          <w:color w:val="auto"/>
          <w:spacing w:val="9"/>
          <w:sz w:val="32"/>
          <w:szCs w:val="32"/>
          <w:highlight w:val="none"/>
          <w:lang w:val="en-US" w:eastAsia="zh-CN"/>
        </w:rPr>
      </w:pPr>
      <w:r>
        <w:rPr>
          <w:rFonts w:hint="eastAsia" w:ascii="仿宋_GB2312" w:hAnsi="仿宋_GB2312" w:eastAsia="仿宋_GB2312" w:cs="仿宋_GB2312"/>
          <w:color w:val="auto"/>
          <w:spacing w:val="9"/>
          <w:sz w:val="32"/>
          <w:szCs w:val="32"/>
          <w:highlight w:val="none"/>
          <w:lang w:val="en-US" w:eastAsia="zh-CN"/>
        </w:rPr>
        <w:t>财政投资：50万元。</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eastAsia="仿宋_GB2312" w:cs="仿宋_GB2312"/>
          <w:color w:val="auto"/>
          <w:spacing w:val="9"/>
          <w:sz w:val="32"/>
          <w:szCs w:val="32"/>
          <w:highlight w:val="none"/>
          <w:lang w:val="en-US" w:eastAsia="zh-CN"/>
        </w:rPr>
      </w:pPr>
      <w:r>
        <w:rPr>
          <w:rFonts w:hint="eastAsia" w:ascii="仿宋_GB2312" w:hAnsi="仿宋_GB2312" w:eastAsia="仿宋_GB2312" w:cs="仿宋_GB2312"/>
          <w:color w:val="auto"/>
          <w:sz w:val="32"/>
          <w:szCs w:val="32"/>
        </w:rPr>
        <w:t>主要建设内容：</w:t>
      </w:r>
      <w:r>
        <w:rPr>
          <w:rFonts w:hint="eastAsia" w:ascii="仿宋_GB2312" w:hAnsi="仿宋_GB2312" w:eastAsia="仿宋_GB2312" w:cs="仿宋_GB2312"/>
          <w:spacing w:val="9"/>
          <w:sz w:val="32"/>
          <w:szCs w:val="32"/>
          <w:highlight w:val="none"/>
          <w:lang w:val="en-US" w:eastAsia="zh-CN"/>
        </w:rPr>
        <w:t>新建住房一套，圈舍4座，建设相关庭院设施。</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w:t>
      </w:r>
      <w:r>
        <w:rPr>
          <w:rFonts w:hint="eastAsia" w:ascii="仿宋_GB2312" w:hAnsi="仿宋_GB2312" w:eastAsia="仿宋_GB2312" w:cs="仿宋_GB2312"/>
          <w:b/>
          <w:color w:val="auto"/>
          <w:sz w:val="32"/>
          <w:szCs w:val="32"/>
          <w:lang w:eastAsia="zh-CN"/>
        </w:rPr>
        <w:t>财政衔接推进乡村振兴补助资金</w:t>
      </w:r>
      <w:r>
        <w:rPr>
          <w:rFonts w:hint="eastAsia" w:ascii="仿宋_GB2312" w:hAnsi="仿宋_GB2312" w:eastAsia="仿宋_GB2312" w:cs="仿宋_GB2312"/>
          <w:b/>
          <w:color w:val="auto"/>
          <w:sz w:val="32"/>
          <w:szCs w:val="32"/>
        </w:rPr>
        <w:t>项目绩效目标设定情况</w:t>
      </w:r>
    </w:p>
    <w:p>
      <w:pPr>
        <w:pStyle w:val="18"/>
        <w:keepNext w:val="0"/>
        <w:keepLines w:val="0"/>
        <w:pageBreakBefore w:val="0"/>
        <w:widowControl w:val="0"/>
        <w:kinsoku/>
        <w:wordWrap/>
        <w:overflowPunct/>
        <w:topLinePunct w:val="0"/>
        <w:autoSpaceDE/>
        <w:autoSpaceDN/>
        <w:bidi w:val="0"/>
        <w:adjustRightInd/>
        <w:spacing w:after="0" w:line="52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本项目根据</w:t>
      </w:r>
      <w:r>
        <w:rPr>
          <w:rFonts w:hint="eastAsia" w:ascii="仿宋_GB2312" w:hAnsi="仿宋_GB2312" w:eastAsia="仿宋_GB2312" w:cs="仿宋_GB2312"/>
          <w:bCs/>
          <w:color w:val="auto"/>
          <w:sz w:val="32"/>
          <w:szCs w:val="32"/>
        </w:rPr>
        <w:t>《国务院办公厅关于转发&lt;财政部、国务院扶贫办、国家发展改革委扶贫项目资金绩效管理办法&gt;的通知》（国办发〔2018〕35号）和《财政部关于全面加强脱贫攻坚期内各级各类扶贫资金管理的意见》（财办〔2018〕24号）等文件精神，及</w:t>
      </w:r>
      <w:r>
        <w:rPr>
          <w:rFonts w:hint="eastAsia" w:ascii="仿宋_GB2312" w:hAnsi="仿宋_GB2312" w:eastAsia="仿宋_GB2312" w:cs="仿宋_GB2312"/>
          <w:color w:val="auto"/>
          <w:sz w:val="32"/>
          <w:szCs w:val="32"/>
        </w:rPr>
        <w:t>《新疆维吾尔自治区财政衔接推进乡村振兴补助资金管理办法》（新财规〔2021〕11号）、《自治区财政专项扶贫资金绩效管理操作指南》(新财预〔2019〕170号)</w:t>
      </w:r>
      <w:r>
        <w:rPr>
          <w:rFonts w:hint="eastAsia" w:ascii="仿宋_GB2312" w:hAnsi="仿宋_GB2312" w:eastAsia="仿宋_GB2312" w:cs="仿宋_GB2312"/>
          <w:color w:val="auto"/>
          <w:sz w:val="32"/>
          <w:szCs w:val="32"/>
          <w:lang w:val="en-US" w:eastAsia="zh-CN"/>
        </w:rPr>
        <w:t>等文件要求，结合本项目实际，设置了</w:t>
      </w:r>
      <w:r>
        <w:rPr>
          <w:rFonts w:hint="eastAsia" w:ascii="仿宋_GB2312" w:hAnsi="仿宋_GB2312" w:eastAsia="仿宋_GB2312" w:cs="仿宋_GB2312"/>
          <w:color w:val="auto"/>
          <w:sz w:val="32"/>
          <w:szCs w:val="32"/>
        </w:rPr>
        <w:t>沙湾市2023年监测户人居</w:t>
      </w:r>
      <w:r>
        <w:rPr>
          <w:rFonts w:hint="eastAsia" w:ascii="仿宋_GB2312" w:hAnsi="仿宋_GB2312" w:eastAsia="仿宋_GB2312" w:cs="仿宋_GB2312"/>
          <w:color w:val="auto"/>
          <w:sz w:val="32"/>
          <w:szCs w:val="32"/>
          <w:lang w:val="en-US" w:eastAsia="zh-CN"/>
        </w:rPr>
        <w:t>环境整治项目</w:t>
      </w:r>
      <w:r>
        <w:rPr>
          <w:rFonts w:hint="eastAsia" w:ascii="仿宋_GB2312" w:hAnsi="仿宋_GB2312" w:eastAsia="仿宋_GB2312" w:cs="仿宋_GB2312"/>
          <w:color w:val="auto"/>
          <w:sz w:val="32"/>
          <w:szCs w:val="32"/>
        </w:rPr>
        <w:t>绩效目标。</w:t>
      </w:r>
      <w:r>
        <w:rPr>
          <w:rFonts w:hint="eastAsia" w:ascii="仿宋_GB2312" w:hAnsi="仿宋_GB2312" w:eastAsia="仿宋_GB2312" w:cs="仿宋_GB2312"/>
          <w:color w:val="auto"/>
          <w:sz w:val="32"/>
          <w:szCs w:val="32"/>
          <w:lang w:val="en-US" w:eastAsia="zh-CN"/>
        </w:rPr>
        <w:t>具体绩效目标设置如下：</w:t>
      </w:r>
    </w:p>
    <w:p>
      <w:pPr>
        <w:pStyle w:val="18"/>
        <w:keepNext w:val="0"/>
        <w:keepLines w:val="0"/>
        <w:pageBreakBefore w:val="0"/>
        <w:kinsoku/>
        <w:wordWrap/>
        <w:overflowPunct/>
        <w:topLinePunct w:val="0"/>
        <w:autoSpaceDE/>
        <w:autoSpaceDN/>
        <w:bidi w:val="0"/>
        <w:spacing w:after="0" w:line="520" w:lineRule="exact"/>
        <w:ind w:left="3598" w:leftChars="342" w:hanging="2880" w:hangingChars="9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项目绩效总体目标</w:t>
      </w:r>
    </w:p>
    <w:p>
      <w:pPr>
        <w:pStyle w:val="8"/>
        <w:keepNext w:val="0"/>
        <w:keepLines w:val="0"/>
        <w:pageBreakBefore w:val="0"/>
        <w:widowControl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zh-TW"/>
        </w:rPr>
      </w:pPr>
      <w:r>
        <w:rPr>
          <w:rFonts w:hint="eastAsia" w:ascii="仿宋_GB2312" w:hAnsi="仿宋_GB2312" w:eastAsia="仿宋_GB2312" w:cs="仿宋_GB2312"/>
          <w:color w:val="auto"/>
          <w:kern w:val="2"/>
          <w:sz w:val="32"/>
          <w:szCs w:val="32"/>
          <w:lang w:val="en-US" w:eastAsia="zh-CN" w:bidi="zh-TW"/>
        </w:rPr>
        <w:t>于2023年10月15日前支付50万元，完成新建住房75平方米以内，圈舍4座。通过本项目促进监测户发展庭院养殖、庭院种植等经济，农牧民充分利用庭院房前屋后空地，因地制宜开展庭院种植、养殖、加工，使庭院绿起来、树种起来、家禽与牲畜养起来，受益户约为4户，通过发展庭院经济，使农村经济健康发展注入新的活力，促进农牧民持续增收，为乡村振兴战略建设奠定基础。</w:t>
      </w:r>
    </w:p>
    <w:p>
      <w:pPr>
        <w:pStyle w:val="8"/>
        <w:keepNext w:val="0"/>
        <w:keepLines w:val="0"/>
        <w:pageBreakBefore w:val="0"/>
        <w:widowControl w:val="0"/>
        <w:numPr>
          <w:ilvl w:val="0"/>
          <w:numId w:val="0"/>
        </w:numPr>
        <w:kinsoku/>
        <w:wordWrap/>
        <w:overflowPunct/>
        <w:topLinePunct w:val="0"/>
        <w:autoSpaceDE/>
        <w:autoSpaceDN/>
        <w:bidi w:val="0"/>
        <w:adjustRightInd/>
        <w:spacing w:line="520" w:lineRule="exact"/>
        <w:ind w:leftChars="200" w:firstLine="320" w:firstLineChars="1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2"/>
          <w:sz w:val="32"/>
          <w:szCs w:val="32"/>
          <w:lang w:val="en-US" w:eastAsia="zh-CN" w:bidi="zh-TW"/>
        </w:rPr>
        <w:t>2.</w:t>
      </w:r>
      <w:r>
        <w:rPr>
          <w:rFonts w:hint="eastAsia" w:ascii="仿宋_GB2312" w:hAnsi="仿宋_GB2312" w:eastAsia="仿宋_GB2312" w:cs="仿宋_GB2312"/>
          <w:color w:val="auto"/>
          <w:sz w:val="32"/>
          <w:szCs w:val="32"/>
          <w:highlight w:val="none"/>
        </w:rPr>
        <w:t>具体绩效指标见下表：</w:t>
      </w:r>
    </w:p>
    <w:tbl>
      <w:tblPr>
        <w:tblStyle w:val="9"/>
        <w:tblW w:w="98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1210"/>
        <w:gridCol w:w="2511"/>
        <w:gridCol w:w="3429"/>
        <w:gridCol w:w="19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trPr>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绩效指标</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2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2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新建住房面积（平方米）</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新建圈舍座数（座）</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工程项目质量合格率（%）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项目完成及时率（%）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项目完成时间（年/月）</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2023年10月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新建住房成本（万元）</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新建圈舍成本（万元）</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2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长期保障平稳进行</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受益户数（户）</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10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提升监测户幸福感</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b/>
                <w:bCs/>
                <w:i w:val="0"/>
                <w:iCs w:val="0"/>
                <w:color w:val="000000"/>
                <w:sz w:val="24"/>
                <w:szCs w:val="24"/>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3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受益群众满意度 （%）</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Pr>
        <w:pStyle w:val="8"/>
        <w:keepNext w:val="0"/>
        <w:keepLines w:val="0"/>
        <w:pageBreakBefore w:val="0"/>
        <w:widowControl w:val="0"/>
        <w:kinsoku/>
        <w:wordWrap/>
        <w:overflowPunct/>
        <w:topLinePunct w:val="0"/>
        <w:autoSpaceDE/>
        <w:autoSpaceDN/>
        <w:bidi w:val="0"/>
        <w:adjustRightInd/>
        <w:snapToGrid w:val="0"/>
        <w:spacing w:line="520" w:lineRule="exact"/>
        <w:textAlignment w:val="auto"/>
        <w:outlineLvl w:val="1"/>
        <w:rPr>
          <w:rFonts w:hint="eastAsia" w:ascii="仿宋_GB2312" w:hAnsi="仿宋_GB2312" w:eastAsia="仿宋_GB2312" w:cs="仿宋_GB2312"/>
          <w:b/>
          <w:color w:val="auto"/>
          <w:sz w:val="32"/>
          <w:szCs w:val="32"/>
        </w:rPr>
      </w:pP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（一）自评工作开展范围</w:t>
      </w:r>
    </w:p>
    <w:p>
      <w:pPr>
        <w:pStyle w:val="18"/>
        <w:keepNext w:val="0"/>
        <w:keepLines w:val="0"/>
        <w:pageBreakBefore w:val="0"/>
        <w:widowControl w:val="0"/>
        <w:kinsoku/>
        <w:wordWrap/>
        <w:overflowPunct/>
        <w:topLinePunct w:val="0"/>
        <w:autoSpaceDE/>
        <w:autoSpaceDN/>
        <w:bidi w:val="0"/>
        <w:adjustRightInd/>
        <w:spacing w:after="0" w:line="52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绩效评价遵循《国务院办公厅关于转发&lt;财政部、国务院扶贫办、国家发展改革委扶贫项目资金绩效管理办法&gt;的通知》（国办发〔2018〕35号）和《财政部关于全面加强脱贫攻坚期内各级各类扶贫资金管理的意见》（财办〔2018〕24号）等文件精神，及《新疆维吾尔自治区财政衔接推进乡村振兴补助资金管理办法》（新财规〔2021〕11号）、《自治区财政专项扶贫资金绩效管理操作指南》(新财预〔2019〕170号)等文件规定，对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年度我单位实施的沙湾市博尔通古乡喀拉巴斯陶村自然沟整治项目</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开展绩效评价，主要通过分析该项目资金使用、管理和项目实施等情况，规范项目申报、公示、审批、实施、监管、验收及资金发放等程序，对项目主管单位和实施单位的资金分配、管理等制度</w:t>
      </w:r>
      <w:r>
        <w:rPr>
          <w:rFonts w:hint="eastAsia" w:ascii="仿宋_GB2312" w:hAnsi="仿宋_GB2312" w:eastAsia="仿宋_GB2312" w:cs="仿宋_GB2312"/>
          <w:color w:val="auto"/>
          <w:sz w:val="32"/>
          <w:szCs w:val="32"/>
          <w:lang w:val="en-US" w:eastAsia="zh-CN"/>
        </w:rPr>
        <w:t>以及</w:t>
      </w:r>
      <w:r>
        <w:rPr>
          <w:rFonts w:hint="eastAsia" w:ascii="仿宋_GB2312" w:hAnsi="仿宋_GB2312" w:eastAsia="仿宋_GB2312" w:cs="仿宋_GB2312"/>
          <w:color w:val="auto"/>
          <w:sz w:val="32"/>
          <w:szCs w:val="32"/>
        </w:rPr>
        <w:t>绩效目标的实现程度，包括是否达到预定产出和效果等方面开展自评工作。</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（二）自评工作开展对象</w:t>
      </w:r>
    </w:p>
    <w:p>
      <w:pPr>
        <w:pStyle w:val="18"/>
        <w:keepNext w:val="0"/>
        <w:keepLines w:val="0"/>
        <w:pageBreakBefore w:val="0"/>
        <w:widowControl w:val="0"/>
        <w:kinsoku/>
        <w:wordWrap/>
        <w:overflowPunct/>
        <w:topLinePunct w:val="0"/>
        <w:autoSpaceDE/>
        <w:autoSpaceDN/>
        <w:bidi w:val="0"/>
        <w:adjustRightInd/>
        <w:spacing w:after="0" w:line="52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本次绩效</w:t>
      </w:r>
      <w:r>
        <w:rPr>
          <w:rFonts w:hint="eastAsia" w:ascii="仿宋_GB2312" w:hAnsi="仿宋_GB2312" w:eastAsia="仿宋_GB2312" w:cs="仿宋_GB2312"/>
          <w:color w:val="auto"/>
          <w:sz w:val="32"/>
          <w:szCs w:val="32"/>
          <w:lang w:val="en-US" w:eastAsia="zh-CN"/>
        </w:rPr>
        <w:t>自评开展对象为乡村振兴</w:t>
      </w:r>
      <w:r>
        <w:rPr>
          <w:rFonts w:hint="eastAsia" w:ascii="仿宋_GB2312" w:hAnsi="仿宋_GB2312" w:eastAsia="仿宋_GB2312" w:cs="仿宋_GB2312"/>
          <w:color w:val="auto"/>
          <w:sz w:val="32"/>
          <w:szCs w:val="32"/>
        </w:rPr>
        <w:t>局202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年度实施的沙湾市2023年监测户人居</w:t>
      </w:r>
      <w:r>
        <w:rPr>
          <w:rFonts w:hint="eastAsia" w:ascii="仿宋_GB2312" w:hAnsi="仿宋_GB2312" w:eastAsia="仿宋_GB2312" w:cs="仿宋_GB2312"/>
          <w:color w:val="auto"/>
          <w:sz w:val="32"/>
          <w:szCs w:val="32"/>
          <w:lang w:val="en-US" w:eastAsia="zh-CN"/>
        </w:rPr>
        <w:t>环境整治项目</w:t>
      </w:r>
      <w:r>
        <w:rPr>
          <w:rFonts w:hint="eastAsia" w:ascii="仿宋_GB2312" w:hAnsi="仿宋_GB2312" w:eastAsia="仿宋_GB2312" w:cs="仿宋_GB2312"/>
          <w:color w:val="auto"/>
          <w:sz w:val="32"/>
          <w:szCs w:val="32"/>
          <w:lang w:eastAsia="zh-CN"/>
        </w:rPr>
        <w:t>。</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（三）自评工作开展时间</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2023年</w:t>
      </w:r>
      <w:r>
        <w:rPr>
          <w:rFonts w:hint="eastAsia" w:ascii="仿宋_GB2312" w:hAnsi="仿宋_GB2312" w:eastAsia="仿宋_GB2312" w:cs="仿宋_GB2312"/>
          <w:bCs/>
          <w:color w:val="auto"/>
          <w:sz w:val="32"/>
          <w:szCs w:val="32"/>
          <w:lang w:val="en-US" w:eastAsia="zh-CN"/>
        </w:rPr>
        <w:t>12</w:t>
      </w:r>
      <w:r>
        <w:rPr>
          <w:rFonts w:hint="eastAsia" w:ascii="仿宋_GB2312" w:hAnsi="仿宋_GB2312" w:eastAsia="仿宋_GB2312" w:cs="仿宋_GB2312"/>
          <w:bCs/>
          <w:color w:val="auto"/>
          <w:sz w:val="32"/>
          <w:szCs w:val="32"/>
        </w:rPr>
        <w:t>月</w:t>
      </w:r>
      <w:r>
        <w:rPr>
          <w:rFonts w:hint="eastAsia" w:ascii="仿宋_GB2312" w:hAnsi="仿宋_GB2312" w:eastAsia="仿宋_GB2312" w:cs="仿宋_GB2312"/>
          <w:bCs/>
          <w:color w:val="auto"/>
          <w:sz w:val="32"/>
          <w:szCs w:val="32"/>
          <w:lang w:val="en-US" w:eastAsia="zh-CN"/>
        </w:rPr>
        <w:t>25</w:t>
      </w:r>
      <w:r>
        <w:rPr>
          <w:rFonts w:hint="eastAsia" w:ascii="仿宋_GB2312" w:hAnsi="仿宋_GB2312" w:eastAsia="仿宋_GB2312" w:cs="仿宋_GB2312"/>
          <w:bCs/>
          <w:color w:val="auto"/>
          <w:sz w:val="32"/>
          <w:szCs w:val="32"/>
        </w:rPr>
        <w:t>日至</w:t>
      </w:r>
      <w:r>
        <w:rPr>
          <w:rFonts w:hint="eastAsia" w:ascii="仿宋_GB2312" w:hAnsi="仿宋_GB2312" w:eastAsia="仿宋_GB2312" w:cs="仿宋_GB2312"/>
          <w:bCs/>
          <w:color w:val="auto"/>
          <w:sz w:val="32"/>
          <w:szCs w:val="32"/>
          <w:highlight w:val="none"/>
          <w:lang w:eastAsia="zh-CN"/>
        </w:rPr>
        <w:t>202</w:t>
      </w:r>
      <w:r>
        <w:rPr>
          <w:rFonts w:hint="eastAsia" w:ascii="仿宋_GB2312" w:hAnsi="仿宋_GB2312" w:eastAsia="仿宋_GB2312" w:cs="仿宋_GB2312"/>
          <w:bCs/>
          <w:color w:val="auto"/>
          <w:sz w:val="32"/>
          <w:szCs w:val="32"/>
          <w:highlight w:val="none"/>
          <w:lang w:val="en-US" w:eastAsia="zh-CN"/>
        </w:rPr>
        <w:t>4</w:t>
      </w:r>
      <w:r>
        <w:rPr>
          <w:rFonts w:hint="eastAsia" w:ascii="仿宋_GB2312" w:hAnsi="仿宋_GB2312" w:eastAsia="仿宋_GB2312" w:cs="仿宋_GB2312"/>
          <w:bCs/>
          <w:color w:val="auto"/>
          <w:sz w:val="32"/>
          <w:szCs w:val="32"/>
          <w:highlight w:val="none"/>
        </w:rPr>
        <w:t>年</w:t>
      </w:r>
      <w:r>
        <w:rPr>
          <w:rFonts w:hint="eastAsia" w:ascii="仿宋_GB2312" w:hAnsi="仿宋_GB2312" w:eastAsia="仿宋_GB2312" w:cs="仿宋_GB2312"/>
          <w:bCs/>
          <w:color w:val="auto"/>
          <w:sz w:val="32"/>
          <w:szCs w:val="32"/>
          <w:highlight w:val="none"/>
          <w:lang w:val="en-US" w:eastAsia="zh-CN"/>
        </w:rPr>
        <w:t>3</w:t>
      </w:r>
      <w:r>
        <w:rPr>
          <w:rFonts w:hint="eastAsia" w:ascii="仿宋_GB2312" w:hAnsi="仿宋_GB2312" w:eastAsia="仿宋_GB2312" w:cs="仿宋_GB2312"/>
          <w:bCs/>
          <w:color w:val="auto"/>
          <w:sz w:val="32"/>
          <w:szCs w:val="32"/>
        </w:rPr>
        <w:t>月</w:t>
      </w:r>
      <w:r>
        <w:rPr>
          <w:rFonts w:hint="eastAsia" w:ascii="仿宋_GB2312" w:hAnsi="仿宋_GB2312" w:eastAsia="仿宋_GB2312" w:cs="仿宋_GB2312"/>
          <w:bCs/>
          <w:color w:val="auto"/>
          <w:sz w:val="32"/>
          <w:szCs w:val="32"/>
          <w:lang w:val="en-US" w:eastAsia="zh-CN"/>
        </w:rPr>
        <w:t>6</w:t>
      </w:r>
      <w:r>
        <w:rPr>
          <w:rFonts w:hint="eastAsia" w:ascii="仿宋_GB2312" w:hAnsi="仿宋_GB2312" w:eastAsia="仿宋_GB2312" w:cs="仿宋_GB2312"/>
          <w:bCs/>
          <w:color w:val="auto"/>
          <w:sz w:val="32"/>
          <w:szCs w:val="32"/>
        </w:rPr>
        <w:t>日开展自评工作。</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（四）自评工作开展方式</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第一阶段：前期准备。</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我单位绩效评价人员根据</w:t>
      </w:r>
      <w:r>
        <w:rPr>
          <w:rFonts w:hint="eastAsia" w:ascii="仿宋_GB2312" w:hAnsi="仿宋_GB2312" w:eastAsia="仿宋_GB2312" w:cs="仿宋_GB2312"/>
          <w:color w:val="auto"/>
          <w:sz w:val="32"/>
          <w:szCs w:val="32"/>
        </w:rPr>
        <w:t>《自治区财政专项扶贫资金绩效管理操作指南》(新财预〔2019〕170号)</w:t>
      </w:r>
      <w:r>
        <w:rPr>
          <w:rFonts w:hint="eastAsia" w:ascii="仿宋_GB2312" w:hAnsi="仿宋_GB2312" w:eastAsia="仿宋_GB2312" w:cs="仿宋_GB2312"/>
          <w:bCs/>
          <w:color w:val="auto"/>
          <w:sz w:val="32"/>
          <w:szCs w:val="32"/>
          <w:lang w:eastAsia="zh-CN"/>
        </w:rPr>
        <w:t>文件精神，认真学习相关要求与规定，成立绩效评价工作组，作为绩效评价工作具体实施机构。成员构成如下：</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赵栋</w:t>
      </w:r>
      <w:r>
        <w:rPr>
          <w:rFonts w:hint="eastAsia" w:ascii="仿宋_GB2312" w:hAnsi="仿宋_GB2312" w:eastAsia="仿宋_GB2312" w:cs="仿宋_GB2312"/>
          <w:bCs/>
          <w:color w:val="auto"/>
          <w:sz w:val="32"/>
          <w:szCs w:val="32"/>
          <w:lang w:eastAsia="zh-CN"/>
        </w:rPr>
        <w:t>任评价组组长，绩效评价工作职责为检查项目绩效指标完成情况、审定项目支出绩效评价结果及项目支出绩效评价报告。</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刘园园</w:t>
      </w:r>
      <w:r>
        <w:rPr>
          <w:rFonts w:hint="eastAsia" w:ascii="仿宋_GB2312" w:hAnsi="仿宋_GB2312" w:eastAsia="仿宋_GB2312" w:cs="仿宋_GB2312"/>
          <w:bCs/>
          <w:color w:val="auto"/>
          <w:sz w:val="32"/>
          <w:szCs w:val="32"/>
          <w:lang w:eastAsia="zh-CN"/>
        </w:rPr>
        <w:t>任评价组副组长，绩效评价工作职责为组织和协调项目工作人员采取实地调查、资料检查等方式，核实项目绩效指标完成情况；组织受益对象对项目工作进行评价等。</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贾艳</w:t>
      </w:r>
      <w:r>
        <w:rPr>
          <w:rFonts w:hint="eastAsia" w:ascii="仿宋_GB2312" w:hAnsi="仿宋_GB2312" w:eastAsia="仿宋_GB2312" w:cs="仿宋_GB2312"/>
          <w:bCs/>
          <w:color w:val="auto"/>
          <w:sz w:val="32"/>
          <w:szCs w:val="32"/>
          <w:lang w:eastAsia="zh-CN"/>
        </w:rPr>
        <w:t>任评价组成员，绩效评价工作职责为做好项目支出绩效评价工作的沟通协调工作，对项目实施情况进行实地调查，编写项目支出绩效评价报告。</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第二阶段：组织实施。</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经评价组通过实地调研、查阅资料等方式，采用综合分析法对项目的决策、管理、绩效进行的综合评价分析。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第三阶段：分析评价。</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首先按照指标体系进行定量、定性分析。其次开展量化打分、综合评价工作，形成初步评价结论。最后归纳整体项目情况与存在问题，撰写</w:t>
      </w:r>
      <w:r>
        <w:rPr>
          <w:rFonts w:hint="eastAsia" w:ascii="仿宋_GB2312" w:hAnsi="仿宋_GB2312" w:eastAsia="仿宋_GB2312" w:cs="仿宋_GB2312"/>
          <w:bCs/>
          <w:color w:val="auto"/>
          <w:sz w:val="32"/>
          <w:szCs w:val="32"/>
          <w:lang w:val="en-US" w:eastAsia="zh-CN"/>
        </w:rPr>
        <w:t>项目</w:t>
      </w:r>
      <w:r>
        <w:rPr>
          <w:rFonts w:hint="eastAsia" w:ascii="仿宋_GB2312" w:hAnsi="仿宋_GB2312" w:eastAsia="仿宋_GB2312" w:cs="仿宋_GB2312"/>
          <w:bCs/>
          <w:color w:val="auto"/>
          <w:sz w:val="32"/>
          <w:szCs w:val="32"/>
          <w:lang w:eastAsia="zh-CN"/>
        </w:rPr>
        <w:t>绩效评价报告。</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bookmarkStart w:id="0" w:name="_Toc2618"/>
      <w:r>
        <w:rPr>
          <w:rFonts w:hint="eastAsia" w:ascii="仿宋_GB2312" w:hAnsi="仿宋_GB2312" w:eastAsia="仿宋_GB2312" w:cs="仿宋_GB2312"/>
          <w:bCs/>
          <w:color w:val="auto"/>
          <w:sz w:val="32"/>
          <w:szCs w:val="32"/>
          <w:lang w:eastAsia="zh-CN"/>
        </w:rPr>
        <w:t>第四阶段：撰写与提交评价报告</w:t>
      </w:r>
      <w:bookmarkEnd w:id="0"/>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项目撰写绩效评价报告，按照财政局绩效</w:t>
      </w:r>
      <w:r>
        <w:rPr>
          <w:rFonts w:hint="eastAsia" w:ascii="仿宋_GB2312" w:hAnsi="仿宋_GB2312" w:eastAsia="仿宋_GB2312" w:cs="仿宋_GB2312"/>
          <w:bCs/>
          <w:color w:val="auto"/>
          <w:sz w:val="32"/>
          <w:szCs w:val="32"/>
          <w:lang w:val="en-US" w:eastAsia="zh-CN"/>
        </w:rPr>
        <w:t>自评管理要求</w:t>
      </w:r>
      <w:r>
        <w:rPr>
          <w:rFonts w:hint="eastAsia" w:ascii="仿宋_GB2312" w:hAnsi="仿宋_GB2312" w:eastAsia="仿宋_GB2312" w:cs="仿宋_GB2312"/>
          <w:bCs/>
          <w:color w:val="auto"/>
          <w:sz w:val="32"/>
          <w:szCs w:val="32"/>
          <w:lang w:eastAsia="zh-CN"/>
        </w:rPr>
        <w:t>统一格式和文本框架撰写绩效评价报告。</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bookmarkStart w:id="1" w:name="_Toc5055"/>
      <w:r>
        <w:rPr>
          <w:rFonts w:hint="eastAsia" w:ascii="仿宋_GB2312" w:hAnsi="仿宋_GB2312" w:eastAsia="仿宋_GB2312" w:cs="仿宋_GB2312"/>
          <w:bCs/>
          <w:color w:val="auto"/>
          <w:sz w:val="32"/>
          <w:szCs w:val="32"/>
          <w:lang w:eastAsia="zh-CN"/>
        </w:rPr>
        <w:t>第五阶段：归集档案</w:t>
      </w:r>
      <w:bookmarkEnd w:id="1"/>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建立和落实档案管理制度，将项目相关资料存档，包括但不限于：评价项目基本情况和相关文件、评价实施方案、项目支付资料等相关档案。</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rPr>
        <w:t>、绩效目标自评完成情况分析</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（一）资金投入情况分析</w:t>
      </w:r>
    </w:p>
    <w:p>
      <w:pPr>
        <w:pStyle w:val="8"/>
        <w:keepNext w:val="0"/>
        <w:keepLines w:val="0"/>
        <w:pageBreakBefore w:val="0"/>
        <w:widowControl w:val="0"/>
        <w:kinsoku/>
        <w:wordWrap/>
        <w:overflowPunct/>
        <w:topLinePunct w:val="0"/>
        <w:autoSpaceDE/>
        <w:autoSpaceDN/>
        <w:bidi w:val="0"/>
        <w:adjustRightInd/>
        <w:spacing w:line="520" w:lineRule="exact"/>
        <w:ind w:firstLine="643"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1.项目资金到位情况分析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本项目全部预算资金</w:t>
      </w:r>
      <w:r>
        <w:rPr>
          <w:rFonts w:hint="eastAsia" w:ascii="仿宋_GB2312" w:hAnsi="仿宋_GB2312" w:eastAsia="仿宋_GB2312" w:cs="仿宋_GB2312"/>
          <w:color w:val="auto"/>
          <w:spacing w:val="9"/>
          <w:sz w:val="32"/>
          <w:szCs w:val="32"/>
          <w:highlight w:val="none"/>
          <w:lang w:val="en-US" w:eastAsia="zh-CN"/>
        </w:rPr>
        <w:t>50</w:t>
      </w:r>
      <w:r>
        <w:rPr>
          <w:rFonts w:hint="eastAsia" w:ascii="仿宋_GB2312" w:hAnsi="仿宋_GB2312" w:eastAsia="仿宋_GB2312" w:cs="仿宋_GB2312"/>
          <w:color w:val="auto"/>
          <w:sz w:val="32"/>
          <w:szCs w:val="32"/>
        </w:rPr>
        <w:t>万元，实际到位</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万元，全部为中</w:t>
      </w:r>
      <w:r>
        <w:rPr>
          <w:rStyle w:val="11"/>
          <w:rFonts w:hint="eastAsia" w:ascii="仿宋_GB2312" w:hAnsi="仿宋_GB2312" w:eastAsia="仿宋_GB2312" w:cs="仿宋_GB2312"/>
          <w:b w:val="0"/>
          <w:bCs w:val="0"/>
          <w:spacing w:val="-4"/>
          <w:sz w:val="32"/>
          <w:szCs w:val="32"/>
          <w:highlight w:val="none"/>
          <w:lang w:val="en-US" w:eastAsia="zh-CN"/>
        </w:rPr>
        <w:t>自治区</w:t>
      </w:r>
      <w:r>
        <w:rPr>
          <w:rFonts w:hint="eastAsia" w:ascii="仿宋_GB2312" w:hAnsi="仿宋_GB2312" w:eastAsia="仿宋_GB2312" w:cs="仿宋_GB2312"/>
          <w:color w:val="auto"/>
          <w:sz w:val="32"/>
          <w:szCs w:val="32"/>
          <w:lang w:eastAsia="zh-CN"/>
        </w:rPr>
        <w:t>政衔接推进乡村振兴补助资金</w:t>
      </w:r>
      <w:r>
        <w:rPr>
          <w:rFonts w:hint="eastAsia" w:ascii="仿宋_GB2312" w:hAnsi="仿宋_GB2312" w:eastAsia="仿宋_GB2312" w:cs="仿宋_GB2312"/>
          <w:color w:val="auto"/>
          <w:sz w:val="32"/>
          <w:szCs w:val="32"/>
        </w:rPr>
        <w:t>，资金</w:t>
      </w:r>
      <w:r>
        <w:rPr>
          <w:rFonts w:hint="eastAsia" w:ascii="仿宋_GB2312" w:hAnsi="仿宋_GB2312" w:eastAsia="仿宋_GB2312" w:cs="仿宋_GB2312"/>
          <w:bCs/>
          <w:color w:val="auto"/>
          <w:sz w:val="32"/>
          <w:szCs w:val="32"/>
        </w:rPr>
        <w:t>预算到位率</w:t>
      </w:r>
      <w:r>
        <w:rPr>
          <w:rFonts w:hint="eastAsia" w:ascii="仿宋_GB2312" w:hAnsi="仿宋_GB2312" w:eastAsia="仿宋_GB2312" w:cs="仿宋_GB2312"/>
          <w:bCs/>
          <w:color w:val="auto"/>
          <w:sz w:val="32"/>
          <w:szCs w:val="32"/>
          <w:lang w:val="en-US" w:eastAsia="zh-CN"/>
        </w:rPr>
        <w:t>100</w:t>
      </w:r>
      <w:r>
        <w:rPr>
          <w:rFonts w:hint="eastAsia" w:ascii="仿宋_GB2312" w:hAnsi="仿宋_GB2312" w:eastAsia="仿宋_GB2312" w:cs="仿宋_GB2312"/>
          <w:bCs/>
          <w:color w:val="auto"/>
          <w:sz w:val="32"/>
          <w:szCs w:val="32"/>
        </w:rPr>
        <w:t>%。</w:t>
      </w:r>
    </w:p>
    <w:p>
      <w:pPr>
        <w:pStyle w:val="8"/>
        <w:keepNext w:val="0"/>
        <w:keepLines w:val="0"/>
        <w:pageBreakBefore w:val="0"/>
        <w:widowControl w:val="0"/>
        <w:kinsoku/>
        <w:wordWrap/>
        <w:overflowPunct/>
        <w:topLinePunct w:val="0"/>
        <w:autoSpaceDE/>
        <w:autoSpaceDN/>
        <w:bidi w:val="0"/>
        <w:adjustRightInd/>
        <w:spacing w:line="520" w:lineRule="exact"/>
        <w:ind w:firstLine="643"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2.项目资金执行情况分析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本项目全部预算资金</w:t>
      </w:r>
      <w:r>
        <w:rPr>
          <w:rFonts w:hint="eastAsia" w:ascii="仿宋_GB2312" w:hAnsi="仿宋_GB2312" w:eastAsia="仿宋_GB2312" w:cs="仿宋_GB2312"/>
          <w:color w:val="auto"/>
          <w:spacing w:val="9"/>
          <w:sz w:val="32"/>
          <w:szCs w:val="32"/>
          <w:highlight w:val="none"/>
          <w:lang w:val="en-US" w:eastAsia="zh-CN"/>
        </w:rPr>
        <w:t>50</w:t>
      </w:r>
      <w:r>
        <w:rPr>
          <w:rFonts w:hint="eastAsia" w:ascii="仿宋_GB2312" w:hAnsi="仿宋_GB2312" w:eastAsia="仿宋_GB2312" w:cs="仿宋_GB2312"/>
          <w:color w:val="auto"/>
          <w:sz w:val="32"/>
          <w:szCs w:val="32"/>
        </w:rPr>
        <w:t>万元，全年执行数</w:t>
      </w:r>
      <w:r>
        <w:rPr>
          <w:rFonts w:hint="eastAsia" w:ascii="仿宋_GB2312" w:hAnsi="仿宋_GB2312" w:eastAsia="仿宋_GB2312" w:cs="仿宋_GB2312"/>
          <w:spacing w:val="9"/>
          <w:sz w:val="32"/>
          <w:szCs w:val="32"/>
          <w:highlight w:val="none"/>
          <w:lang w:val="en-US" w:eastAsia="zh-CN"/>
        </w:rPr>
        <w:t>49.62</w:t>
      </w:r>
      <w:r>
        <w:rPr>
          <w:rFonts w:hint="eastAsia" w:ascii="仿宋_GB2312" w:hAnsi="仿宋_GB2312" w:eastAsia="仿宋_GB2312" w:cs="仿宋_GB2312"/>
          <w:color w:val="auto"/>
          <w:sz w:val="32"/>
          <w:szCs w:val="32"/>
        </w:rPr>
        <w:t>万元，资金执行率</w:t>
      </w:r>
      <w:r>
        <w:rPr>
          <w:rFonts w:hint="eastAsia" w:ascii="仿宋_GB2312" w:hAnsi="仿宋_GB2312" w:eastAsia="仿宋_GB2312" w:cs="仿宋_GB2312"/>
          <w:spacing w:val="9"/>
          <w:sz w:val="32"/>
          <w:szCs w:val="32"/>
          <w:highlight w:val="none"/>
          <w:lang w:val="en-US" w:eastAsia="zh-CN"/>
        </w:rPr>
        <w:t>100</w:t>
      </w:r>
      <w:bookmarkStart w:id="2" w:name="_GoBack"/>
      <w:bookmarkEnd w:id="2"/>
      <w:r>
        <w:rPr>
          <w:rFonts w:hint="eastAsia" w:ascii="仿宋_GB2312" w:hAnsi="仿宋_GB2312" w:eastAsia="仿宋_GB2312" w:cs="仿宋_GB2312"/>
          <w:spacing w:val="9"/>
          <w:sz w:val="32"/>
          <w:szCs w:val="32"/>
          <w:highlight w:val="none"/>
          <w:lang w:val="en-US" w:eastAsia="zh-CN"/>
        </w:rPr>
        <w:t>%</w:t>
      </w:r>
      <w:r>
        <w:rPr>
          <w:rFonts w:hint="eastAsia" w:ascii="仿宋_GB2312" w:hAnsi="仿宋_GB2312" w:eastAsia="仿宋_GB2312" w:cs="仿宋_GB2312"/>
          <w:color w:val="auto"/>
          <w:sz w:val="32"/>
          <w:szCs w:val="32"/>
        </w:rPr>
        <w:t>。</w:t>
      </w:r>
    </w:p>
    <w:p>
      <w:pPr>
        <w:pStyle w:val="8"/>
        <w:keepNext w:val="0"/>
        <w:keepLines w:val="0"/>
        <w:pageBreakBefore w:val="0"/>
        <w:widowControl w:val="0"/>
        <w:kinsoku/>
        <w:wordWrap/>
        <w:overflowPunct/>
        <w:topLinePunct w:val="0"/>
        <w:autoSpaceDE/>
        <w:autoSpaceDN/>
        <w:bidi w:val="0"/>
        <w:adjustRightInd/>
        <w:spacing w:line="520" w:lineRule="exact"/>
        <w:ind w:firstLine="643"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3.项目资金管理情况分析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sz w:val="32"/>
          <w:szCs w:val="32"/>
        </w:rPr>
        <w:t>根据</w:t>
      </w:r>
      <w:r>
        <w:rPr>
          <w:rFonts w:hint="eastAsia" w:ascii="仿宋_GB2312" w:hAnsi="仿宋_GB2312" w:eastAsia="仿宋_GB2312" w:cs="仿宋_GB2312"/>
          <w:color w:val="auto"/>
          <w:sz w:val="32"/>
          <w:szCs w:val="32"/>
          <w:lang w:val="en-US" w:eastAsia="zh-CN"/>
        </w:rPr>
        <w:t>衔接</w:t>
      </w:r>
      <w:r>
        <w:rPr>
          <w:rFonts w:hint="eastAsia" w:ascii="仿宋_GB2312" w:hAnsi="仿宋_GB2312" w:eastAsia="仿宋_GB2312" w:cs="仿宋_GB2312"/>
          <w:color w:val="auto"/>
          <w:sz w:val="32"/>
          <w:szCs w:val="32"/>
        </w:rPr>
        <w:t>资金管理使用办法，设置了独立的财务管理机构，配备会计机构负责人1名，会计员1名，会计人员分工明确，职责清楚，出纳人员不兼管稽核，严格执行财政部关于基本建设财务管理的相关规定和办法，严格执行国有建设单位会计制度，建立适合本项目业务特点和管理要求的内部会计控制制度，制定会计人员岗位责任制和财务收支审批制度，并组织实施。项目在资金管理使用过程中，</w:t>
      </w:r>
      <w:r>
        <w:rPr>
          <w:rFonts w:hint="eastAsia" w:ascii="仿宋_GB2312" w:hAnsi="仿宋_GB2312" w:eastAsia="仿宋_GB2312" w:cs="仿宋_GB2312"/>
          <w:color w:val="auto"/>
          <w:kern w:val="0"/>
          <w:sz w:val="32"/>
          <w:szCs w:val="32"/>
          <w:lang w:val="zh-CN"/>
        </w:rPr>
        <w:t>严格按照相关规定执行，做到了单独核算，项目资金的使用严格按照工程进度拨款，由甲方代表</w:t>
      </w:r>
      <w:r>
        <w:rPr>
          <w:rFonts w:hint="eastAsia" w:ascii="仿宋_GB2312" w:hAnsi="仿宋_GB2312" w:eastAsia="仿宋_GB2312" w:cs="仿宋_GB2312"/>
          <w:color w:val="auto"/>
          <w:kern w:val="0"/>
          <w:sz w:val="32"/>
          <w:szCs w:val="32"/>
        </w:rPr>
        <w:t>及上</w:t>
      </w:r>
      <w:r>
        <w:rPr>
          <w:rFonts w:hint="eastAsia" w:ascii="仿宋_GB2312" w:hAnsi="仿宋_GB2312" w:eastAsia="仿宋_GB2312" w:cs="仿宋_GB2312"/>
          <w:color w:val="auto"/>
          <w:kern w:val="0"/>
          <w:sz w:val="32"/>
          <w:szCs w:val="32"/>
          <w:lang w:val="zh-CN"/>
        </w:rPr>
        <w:t>级主管领导签发资金提款单后，方可拨付项目资金，使项目资金全部用到工程中。严格执行塔城地区</w:t>
      </w:r>
      <w:r>
        <w:rPr>
          <w:rFonts w:hint="eastAsia" w:ascii="仿宋_GB2312" w:hAnsi="仿宋_GB2312" w:eastAsia="仿宋_GB2312" w:cs="仿宋_GB2312"/>
          <w:bCs/>
          <w:color w:val="auto"/>
          <w:sz w:val="32"/>
          <w:szCs w:val="32"/>
        </w:rPr>
        <w:t>《关于转发&lt;新疆维吾尔中央扶贫资金管理办法&gt;的通知》（塔地财扶[2017]32号）的文件规定，做到了本项目资金专款专用。在加强纪检、财政、审计日常监督管理的同时，确保资金使用安全、合规。</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（二）绩效目标完成情况分析</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新建住房75平方米以内，圈舍4座；监测户人居环境整治4户； </w:t>
      </w:r>
      <w:r>
        <w:rPr>
          <w:rFonts w:hint="eastAsia" w:ascii="仿宋_GB2312" w:hAnsi="仿宋_GB2312" w:eastAsia="仿宋_GB2312" w:cs="仿宋_GB2312"/>
          <w:color w:val="auto"/>
          <w:sz w:val="32"/>
          <w:szCs w:val="32"/>
          <w:highlight w:val="none"/>
        </w:rPr>
        <w:t>发展</w:t>
      </w:r>
      <w:r>
        <w:rPr>
          <w:rFonts w:hint="eastAsia" w:ascii="仿宋_GB2312" w:hAnsi="仿宋_GB2312" w:eastAsia="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rPr>
        <w:t>庭院经济，使农村经济健康发展注入新的活力，促进农牧民持续增收，为乡村振兴战略建设奠定基础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促进了监测户发展庭院养殖、庭院种植等经济，农牧民充分利用庭院房前屋后空地，因地制宜开展庭院种植、养殖、加工，使庭院绿起来、树种起来、家禽与牲畜养起来；</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最终自评得分为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pacing w:val="-4"/>
          <w:sz w:val="32"/>
          <w:szCs w:val="32"/>
        </w:rPr>
      </w:pPr>
      <w:r>
        <w:rPr>
          <w:rFonts w:hint="eastAsia" w:ascii="仿宋_GB2312" w:hAnsi="仿宋_GB2312" w:eastAsia="仿宋_GB2312" w:cs="仿宋_GB2312"/>
          <w:color w:val="000000"/>
          <w:sz w:val="32"/>
          <w:szCs w:val="32"/>
          <w:highlight w:val="none"/>
          <w:lang w:val="zh-TW" w:eastAsia="zh-TW"/>
        </w:rPr>
        <w:t>本项目共设置一级指标3个，二级指标</w:t>
      </w:r>
      <w:r>
        <w:rPr>
          <w:rFonts w:hint="eastAsia" w:ascii="仿宋_GB2312" w:hAnsi="仿宋_GB2312" w:eastAsia="仿宋_GB2312" w:cs="仿宋_GB2312"/>
          <w:color w:val="000000"/>
          <w:sz w:val="32"/>
          <w:szCs w:val="32"/>
          <w:highlight w:val="none"/>
          <w:lang w:val="en-US" w:eastAsia="zh-CN"/>
        </w:rPr>
        <w:t>7</w:t>
      </w:r>
      <w:r>
        <w:rPr>
          <w:rFonts w:hint="eastAsia" w:ascii="仿宋_GB2312" w:hAnsi="仿宋_GB2312" w:eastAsia="仿宋_GB2312" w:cs="仿宋_GB2312"/>
          <w:color w:val="000000"/>
          <w:sz w:val="32"/>
          <w:szCs w:val="32"/>
          <w:highlight w:val="none"/>
          <w:lang w:val="zh-TW" w:eastAsia="zh-TW"/>
        </w:rPr>
        <w:t>个，三级指标</w:t>
      </w:r>
      <w:r>
        <w:rPr>
          <w:rFonts w:hint="eastAsia" w:ascii="仿宋_GB2312" w:hAnsi="仿宋_GB2312" w:eastAsia="仿宋_GB2312" w:cs="仿宋_GB2312"/>
          <w:color w:val="000000"/>
          <w:sz w:val="32"/>
          <w:szCs w:val="32"/>
          <w:highlight w:val="none"/>
          <w:lang w:val="en-US" w:eastAsia="zh-CN"/>
        </w:rPr>
        <w:t>11</w:t>
      </w:r>
      <w:r>
        <w:rPr>
          <w:rFonts w:hint="eastAsia" w:ascii="仿宋_GB2312" w:hAnsi="仿宋_GB2312" w:eastAsia="仿宋_GB2312" w:cs="仿宋_GB2312"/>
          <w:color w:val="000000"/>
          <w:sz w:val="32"/>
          <w:szCs w:val="32"/>
          <w:highlight w:val="none"/>
          <w:lang w:val="zh-TW" w:eastAsia="zh-TW"/>
        </w:rPr>
        <w:t>个，其中已完成三级指标</w:t>
      </w:r>
      <w:r>
        <w:rPr>
          <w:rFonts w:hint="eastAsia" w:ascii="仿宋_GB2312" w:hAnsi="仿宋_GB2312" w:eastAsia="仿宋_GB2312" w:cs="仿宋_GB2312"/>
          <w:color w:val="000000"/>
          <w:sz w:val="32"/>
          <w:szCs w:val="32"/>
          <w:highlight w:val="none"/>
          <w:lang w:val="en-US" w:eastAsia="zh-CN"/>
        </w:rPr>
        <w:t>11</w:t>
      </w:r>
      <w:r>
        <w:rPr>
          <w:rFonts w:hint="eastAsia" w:ascii="仿宋_GB2312" w:hAnsi="仿宋_GB2312" w:eastAsia="仿宋_GB2312" w:cs="仿宋_GB2312"/>
          <w:color w:val="000000"/>
          <w:sz w:val="32"/>
          <w:szCs w:val="32"/>
          <w:highlight w:val="none"/>
          <w:lang w:val="zh-TW" w:eastAsia="zh-TW"/>
        </w:rPr>
        <w:t>个，指标完成率为100%。</w:t>
      </w:r>
      <w:r>
        <w:rPr>
          <w:rFonts w:hint="eastAsia" w:ascii="仿宋_GB2312" w:hAnsi="仿宋_GB2312" w:eastAsia="仿宋_GB2312" w:cs="仿宋_GB2312"/>
          <w:bCs/>
          <w:color w:val="auto"/>
          <w:spacing w:val="-4"/>
          <w:sz w:val="32"/>
          <w:szCs w:val="32"/>
        </w:rPr>
        <w:t>具体情况如下：</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2"/>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1.产出指标完成情况分析</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（1）数量指标</w:t>
      </w:r>
    </w:p>
    <w:p>
      <w:pPr>
        <w:pStyle w:val="8"/>
        <w:keepNext w:val="0"/>
        <w:keepLines w:val="0"/>
        <w:pageBreakBefore w:val="0"/>
        <w:widowControl w:val="0"/>
        <w:kinsoku/>
        <w:wordWrap/>
        <w:overflowPunct/>
        <w:topLinePunct w:val="0"/>
        <w:autoSpaceDE/>
        <w:autoSpaceDN/>
        <w:bidi w:val="0"/>
        <w:adjustRightInd/>
        <w:spacing w:line="520" w:lineRule="exact"/>
        <w:ind w:left="0" w:leftChars="0" w:firstLine="640" w:firstLineChars="200"/>
        <w:jc w:val="both"/>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新建住房（平方米）：</w:t>
      </w:r>
      <w:r>
        <w:rPr>
          <w:rFonts w:hint="eastAsia" w:ascii="仿宋_GB2312" w:hAnsi="仿宋_GB2312" w:eastAsia="仿宋_GB2312" w:cs="仿宋_GB2312"/>
          <w:color w:val="000000"/>
          <w:sz w:val="32"/>
          <w:szCs w:val="32"/>
          <w:highlight w:val="none"/>
        </w:rPr>
        <w:t>年度指标</w:t>
      </w:r>
      <w:r>
        <w:rPr>
          <w:rFonts w:hint="eastAsia" w:ascii="仿宋_GB2312" w:hAnsi="仿宋_GB2312" w:eastAsia="仿宋_GB2312" w:cs="仿宋_GB2312"/>
          <w:color w:val="auto"/>
          <w:sz w:val="32"/>
          <w:szCs w:val="32"/>
          <w:highlight w:val="none"/>
        </w:rPr>
        <w:t>值</w:t>
      </w:r>
      <w:r>
        <w:rPr>
          <w:rFonts w:hint="eastAsia" w:ascii="仿宋_GB2312" w:hAnsi="仿宋_GB2312" w:eastAsia="仿宋_GB2312" w:cs="仿宋_GB2312"/>
          <w:color w:val="auto"/>
          <w:sz w:val="32"/>
          <w:szCs w:val="32"/>
          <w:highlight w:val="none"/>
          <w:lang w:val="en-US" w:eastAsia="zh-CN"/>
        </w:rPr>
        <w:t>小于等于7</w:t>
      </w:r>
      <w:r>
        <w:rPr>
          <w:rFonts w:hint="eastAsia" w:ascii="仿宋_GB2312" w:hAnsi="仿宋_GB2312" w:eastAsia="仿宋_GB2312" w:cs="仿宋_GB2312"/>
          <w:color w:val="000000"/>
          <w:sz w:val="32"/>
          <w:szCs w:val="32"/>
          <w:highlight w:val="none"/>
          <w:lang w:val="en-US" w:eastAsia="zh-CN"/>
        </w:rPr>
        <w:t>5平方米</w:t>
      </w:r>
      <w:r>
        <w:rPr>
          <w:rFonts w:hint="eastAsia" w:ascii="仿宋_GB2312" w:hAnsi="仿宋_GB2312" w:eastAsia="仿宋_GB2312" w:cs="仿宋_GB2312"/>
          <w:color w:val="000000"/>
          <w:sz w:val="32"/>
          <w:szCs w:val="32"/>
          <w:highlight w:val="none"/>
        </w:rPr>
        <w:t>，全年实际值</w:t>
      </w:r>
      <w:r>
        <w:rPr>
          <w:rFonts w:hint="eastAsia" w:ascii="仿宋_GB2312" w:hAnsi="仿宋_GB2312" w:eastAsia="仿宋_GB2312" w:cs="仿宋_GB2312"/>
          <w:sz w:val="32"/>
          <w:szCs w:val="32"/>
          <w:highlight w:val="none"/>
          <w:lang w:val="en-US" w:eastAsia="zh-CN"/>
        </w:rPr>
        <w:t>74.88平方米</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新建圈舍（座）：</w:t>
      </w:r>
      <w:r>
        <w:rPr>
          <w:rFonts w:hint="eastAsia" w:ascii="仿宋_GB2312" w:hAnsi="仿宋_GB2312" w:eastAsia="仿宋_GB2312" w:cs="仿宋_GB2312"/>
          <w:color w:val="000000"/>
          <w:sz w:val="32"/>
          <w:szCs w:val="32"/>
          <w:highlight w:val="none"/>
        </w:rPr>
        <w:t>年度指标值</w:t>
      </w:r>
      <w:r>
        <w:rPr>
          <w:rFonts w:hint="eastAsia" w:ascii="仿宋_GB2312" w:hAnsi="仿宋_GB2312" w:eastAsia="仿宋_GB2312" w:cs="仿宋_GB2312"/>
          <w:color w:val="000000"/>
          <w:sz w:val="32"/>
          <w:szCs w:val="32"/>
          <w:highlight w:val="none"/>
          <w:lang w:val="en-US" w:eastAsia="zh-CN"/>
        </w:rPr>
        <w:t>等于4座</w:t>
      </w:r>
      <w:r>
        <w:rPr>
          <w:rFonts w:hint="eastAsia" w:ascii="仿宋_GB2312" w:hAnsi="仿宋_GB2312" w:eastAsia="仿宋_GB2312" w:cs="仿宋_GB2312"/>
          <w:color w:val="000000"/>
          <w:sz w:val="32"/>
          <w:szCs w:val="32"/>
          <w:highlight w:val="none"/>
        </w:rPr>
        <w:t>，全年实际值</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4座</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（2）质量指标</w:t>
      </w:r>
    </w:p>
    <w:p>
      <w:pPr>
        <w:keepNext w:val="0"/>
        <w:keepLines w:val="0"/>
        <w:pageBreakBefore w:val="0"/>
        <w:widowControl w:val="0"/>
        <w:kinsoku/>
        <w:wordWrap/>
        <w:overflowPunct/>
        <w:topLinePunct w:val="0"/>
        <w:autoSpaceDE/>
        <w:autoSpaceDN/>
        <w:bidi w:val="0"/>
        <w:adjustRightInd/>
        <w:spacing w:line="520" w:lineRule="exact"/>
        <w:ind w:firstLine="64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highlight w:val="none"/>
          <w:lang w:val="en-US" w:eastAsia="zh-CN"/>
        </w:rPr>
        <w:t>项</w:t>
      </w:r>
      <w:r>
        <w:rPr>
          <w:rFonts w:hint="eastAsia" w:ascii="仿宋_GB2312" w:hAnsi="仿宋_GB2312" w:eastAsia="仿宋_GB2312" w:cs="仿宋_GB2312"/>
          <w:bCs/>
          <w:color w:val="auto"/>
          <w:sz w:val="32"/>
          <w:szCs w:val="32"/>
          <w:highlight w:val="none"/>
        </w:rPr>
        <w:t>目验收合格率</w:t>
      </w:r>
      <w:r>
        <w:rPr>
          <w:rFonts w:hint="eastAsia" w:ascii="仿宋_GB2312" w:hAnsi="仿宋_GB2312" w:eastAsia="仿宋_GB2312" w:cs="仿宋_GB2312"/>
          <w:color w:val="000000"/>
          <w:sz w:val="32"/>
          <w:szCs w:val="32"/>
          <w:highlight w:val="none"/>
          <w:lang w:val="en-US" w:eastAsia="zh-CN"/>
        </w:rPr>
        <w:t>（%）</w:t>
      </w:r>
      <w:r>
        <w:rPr>
          <w:rFonts w:hint="eastAsia" w:ascii="仿宋_GB2312" w:hAnsi="仿宋_GB2312" w:eastAsia="仿宋_GB2312" w:cs="仿宋_GB2312"/>
          <w:bCs/>
          <w:color w:val="auto"/>
          <w:sz w:val="32"/>
          <w:szCs w:val="32"/>
          <w:highlight w:val="none"/>
        </w:rPr>
        <w:t>：年度指标值</w:t>
      </w:r>
      <w:r>
        <w:rPr>
          <w:rFonts w:hint="eastAsia" w:ascii="仿宋_GB2312" w:hAnsi="仿宋_GB2312" w:eastAsia="仿宋_GB2312" w:cs="仿宋_GB2312"/>
          <w:color w:val="auto"/>
          <w:sz w:val="32"/>
          <w:szCs w:val="32"/>
          <w:highlight w:val="none"/>
          <w:lang w:val="en-US" w:eastAsia="zh-CN"/>
        </w:rPr>
        <w:t>等于</w:t>
      </w:r>
      <w:r>
        <w:rPr>
          <w:rFonts w:hint="eastAsia" w:ascii="仿宋_GB2312" w:hAnsi="仿宋_GB2312" w:eastAsia="仿宋_GB2312" w:cs="仿宋_GB2312"/>
          <w:bCs/>
          <w:color w:val="auto"/>
          <w:sz w:val="32"/>
          <w:szCs w:val="32"/>
          <w:highlight w:val="none"/>
        </w:rPr>
        <w:t>100%，全年实际值100%。</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（3）时效指标</w:t>
      </w:r>
    </w:p>
    <w:p>
      <w:pPr>
        <w:pStyle w:val="8"/>
        <w:keepNext w:val="0"/>
        <w:keepLines w:val="0"/>
        <w:pageBreakBefore w:val="0"/>
        <w:widowControl w:val="0"/>
        <w:kinsoku/>
        <w:wordWrap/>
        <w:overflowPunct/>
        <w:topLinePunct w:val="0"/>
        <w:autoSpaceDE/>
        <w:autoSpaceDN/>
        <w:bidi w:val="0"/>
        <w:adjustRightInd/>
        <w:spacing w:line="52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项目完成及时率</w:t>
      </w:r>
      <w:r>
        <w:rPr>
          <w:rFonts w:hint="eastAsia" w:ascii="仿宋_GB2312" w:hAnsi="仿宋_GB2312" w:eastAsia="仿宋_GB2312" w:cs="仿宋_GB2312"/>
          <w:color w:val="000000"/>
          <w:sz w:val="32"/>
          <w:szCs w:val="32"/>
          <w:highlight w:val="none"/>
          <w:lang w:val="en-US" w:eastAsia="zh-CN"/>
        </w:rPr>
        <w:t>（%）</w:t>
      </w:r>
      <w:r>
        <w:rPr>
          <w:rFonts w:hint="eastAsia" w:ascii="仿宋_GB2312" w:hAnsi="仿宋_GB2312" w:eastAsia="仿宋_GB2312" w:cs="仿宋_GB2312"/>
          <w:color w:val="auto"/>
          <w:sz w:val="32"/>
          <w:szCs w:val="32"/>
          <w:highlight w:val="none"/>
        </w:rPr>
        <w:t>：年度指标值</w:t>
      </w:r>
      <w:r>
        <w:rPr>
          <w:rFonts w:hint="eastAsia" w:ascii="仿宋_GB2312" w:hAnsi="仿宋_GB2312" w:eastAsia="仿宋_GB2312" w:cs="仿宋_GB2312"/>
          <w:color w:val="auto"/>
          <w:sz w:val="32"/>
          <w:szCs w:val="32"/>
          <w:highlight w:val="none"/>
          <w:lang w:val="en-US" w:eastAsia="zh-CN"/>
        </w:rPr>
        <w:t>等于</w:t>
      </w:r>
      <w:r>
        <w:rPr>
          <w:rFonts w:hint="eastAsia" w:ascii="仿宋_GB2312" w:hAnsi="仿宋_GB2312" w:eastAsia="仿宋_GB2312" w:cs="仿宋_GB2312"/>
          <w:color w:val="auto"/>
          <w:sz w:val="32"/>
          <w:szCs w:val="32"/>
          <w:highlight w:val="none"/>
        </w:rPr>
        <w:t>100%，全年实际值100%。</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Style w:val="8"/>
        <w:keepNext w:val="0"/>
        <w:keepLines w:val="0"/>
        <w:pageBreakBefore w:val="0"/>
        <w:widowControl w:val="0"/>
        <w:kinsoku/>
        <w:wordWrap/>
        <w:overflowPunct/>
        <w:topLinePunct w:val="0"/>
        <w:autoSpaceDE/>
        <w:autoSpaceDN/>
        <w:bidi w:val="0"/>
        <w:adjustRightInd/>
        <w:spacing w:line="52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项目完成时间（年/月）：</w:t>
      </w:r>
      <w:r>
        <w:rPr>
          <w:rFonts w:hint="eastAsia" w:ascii="仿宋_GB2312" w:hAnsi="仿宋_GB2312" w:eastAsia="仿宋_GB2312" w:cs="仿宋_GB2312"/>
          <w:color w:val="000000"/>
          <w:sz w:val="32"/>
          <w:szCs w:val="32"/>
          <w:highlight w:val="none"/>
        </w:rPr>
        <w:t>年度指标值</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2023年10月</w:t>
      </w:r>
      <w:r>
        <w:rPr>
          <w:rFonts w:hint="eastAsia" w:ascii="仿宋_GB2312" w:hAnsi="仿宋_GB2312" w:eastAsia="仿宋_GB2312" w:cs="仿宋_GB2312"/>
          <w:color w:val="000000"/>
          <w:sz w:val="32"/>
          <w:szCs w:val="32"/>
          <w:highlight w:val="none"/>
        </w:rPr>
        <w:t>，全年实际值</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2023年10月</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（4）成本指标</w:t>
      </w:r>
    </w:p>
    <w:p>
      <w:pPr>
        <w:keepNext w:val="0"/>
        <w:keepLines w:val="0"/>
        <w:pageBreakBefore w:val="0"/>
        <w:widowControl w:val="0"/>
        <w:kinsoku/>
        <w:wordWrap/>
        <w:overflowPunct/>
        <w:topLinePunct w:val="0"/>
        <w:autoSpaceDE/>
        <w:autoSpaceDN/>
        <w:bidi w:val="0"/>
        <w:adjustRightInd/>
        <w:spacing w:line="520" w:lineRule="exact"/>
        <w:ind w:firstLine="640"/>
        <w:jc w:val="both"/>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新建住房成本（万元）：</w:t>
      </w:r>
      <w:r>
        <w:rPr>
          <w:rFonts w:hint="eastAsia" w:ascii="仿宋_GB2312" w:hAnsi="仿宋_GB2312" w:eastAsia="仿宋_GB2312" w:cs="仿宋_GB2312"/>
          <w:color w:val="000000"/>
          <w:sz w:val="32"/>
          <w:szCs w:val="32"/>
          <w:highlight w:val="none"/>
        </w:rPr>
        <w:t>年度指标值</w:t>
      </w:r>
      <w:r>
        <w:rPr>
          <w:rFonts w:hint="eastAsia" w:ascii="仿宋_GB2312" w:hAnsi="仿宋_GB2312" w:eastAsia="仿宋_GB2312" w:cs="仿宋_GB2312"/>
          <w:color w:val="000000"/>
          <w:sz w:val="32"/>
          <w:szCs w:val="32"/>
          <w:highlight w:val="none"/>
          <w:lang w:eastAsia="zh-CN"/>
        </w:rPr>
        <w:t>小于等于</w:t>
      </w:r>
      <w:r>
        <w:rPr>
          <w:rFonts w:hint="eastAsia" w:ascii="仿宋_GB2312" w:hAnsi="仿宋_GB2312" w:eastAsia="仿宋_GB2312" w:cs="仿宋_GB2312"/>
          <w:color w:val="000000"/>
          <w:sz w:val="32"/>
          <w:szCs w:val="32"/>
          <w:highlight w:val="none"/>
          <w:lang w:val="en-US" w:eastAsia="zh-CN"/>
        </w:rPr>
        <w:t>15万元</w:t>
      </w:r>
      <w:r>
        <w:rPr>
          <w:rFonts w:hint="eastAsia" w:ascii="仿宋_GB2312" w:hAnsi="仿宋_GB2312" w:eastAsia="仿宋_GB2312" w:cs="仿宋_GB2312"/>
          <w:color w:val="000000"/>
          <w:sz w:val="32"/>
          <w:szCs w:val="32"/>
          <w:highlight w:val="none"/>
        </w:rPr>
        <w:t>，全年实际</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b w:val="0"/>
          <w:i w:val="0"/>
          <w:caps w:val="0"/>
          <w:spacing w:val="0"/>
          <w:w w:val="100"/>
          <w:sz w:val="32"/>
          <w:szCs w:val="32"/>
          <w:highlight w:val="none"/>
          <w:lang w:val="en-US" w:eastAsia="zh-CN"/>
        </w:rPr>
        <w:t>万元，</w:t>
      </w:r>
      <w:r>
        <w:rPr>
          <w:rFonts w:hint="eastAsia" w:ascii="仿宋_GB2312" w:hAnsi="仿宋_GB2312" w:eastAsia="仿宋_GB2312" w:cs="仿宋_GB2312"/>
          <w:color w:val="auto"/>
          <w:sz w:val="32"/>
          <w:szCs w:val="32"/>
          <w:highlight w:val="none"/>
        </w:rPr>
        <w:t>指标完成率为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%，偏差率为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w:t>
      </w:r>
      <w:r>
        <w:rPr>
          <w:rStyle w:val="11"/>
          <w:rFonts w:hint="eastAsia" w:ascii="仿宋_GB2312" w:hAnsi="仿宋_GB2312" w:eastAsia="仿宋_GB2312" w:cs="仿宋_GB2312"/>
          <w:color w:val="auto"/>
          <w:spacing w:val="-4"/>
          <w:sz w:val="32"/>
          <w:szCs w:val="32"/>
          <w:highlight w:val="none"/>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0"/>
        <w:jc w:val="both"/>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新建圈舍成本（万元）：</w:t>
      </w:r>
      <w:r>
        <w:rPr>
          <w:rFonts w:hint="eastAsia" w:ascii="仿宋_GB2312" w:hAnsi="仿宋_GB2312" w:eastAsia="仿宋_GB2312" w:cs="仿宋_GB2312"/>
          <w:color w:val="000000"/>
          <w:sz w:val="32"/>
          <w:szCs w:val="32"/>
          <w:highlight w:val="none"/>
        </w:rPr>
        <w:t>年度指标值</w:t>
      </w:r>
      <w:r>
        <w:rPr>
          <w:rFonts w:hint="eastAsia" w:ascii="仿宋_GB2312" w:hAnsi="仿宋_GB2312" w:eastAsia="仿宋_GB2312" w:cs="仿宋_GB2312"/>
          <w:color w:val="000000"/>
          <w:sz w:val="32"/>
          <w:szCs w:val="32"/>
          <w:highlight w:val="none"/>
          <w:lang w:eastAsia="zh-CN"/>
        </w:rPr>
        <w:t>小于等于</w:t>
      </w:r>
      <w:r>
        <w:rPr>
          <w:rFonts w:hint="eastAsia" w:ascii="仿宋_GB2312" w:hAnsi="仿宋_GB2312" w:eastAsia="仿宋_GB2312" w:cs="仿宋_GB2312"/>
          <w:color w:val="000000"/>
          <w:sz w:val="32"/>
          <w:szCs w:val="32"/>
          <w:highlight w:val="none"/>
          <w:lang w:val="en-US" w:eastAsia="zh-CN"/>
        </w:rPr>
        <w:t>35万元</w:t>
      </w:r>
      <w:r>
        <w:rPr>
          <w:rFonts w:hint="eastAsia" w:ascii="仿宋_GB2312" w:hAnsi="仿宋_GB2312" w:eastAsia="仿宋_GB2312" w:cs="仿宋_GB2312"/>
          <w:color w:val="000000"/>
          <w:sz w:val="32"/>
          <w:szCs w:val="32"/>
          <w:highlight w:val="none"/>
        </w:rPr>
        <w:t>，全年实际</w:t>
      </w:r>
      <w:r>
        <w:rPr>
          <w:rFonts w:hint="eastAsia" w:ascii="仿宋_GB2312" w:hAnsi="仿宋_GB2312" w:eastAsia="仿宋_GB2312" w:cs="仿宋_GB2312"/>
          <w:sz w:val="32"/>
          <w:szCs w:val="32"/>
          <w:highlight w:val="none"/>
          <w:lang w:val="en-US" w:eastAsia="zh-CN"/>
        </w:rPr>
        <w:t>34.62</w:t>
      </w:r>
      <w:r>
        <w:rPr>
          <w:rFonts w:hint="eastAsia" w:ascii="仿宋_GB2312" w:hAnsi="仿宋_GB2312" w:eastAsia="仿宋_GB2312" w:cs="仿宋_GB2312"/>
          <w:b w:val="0"/>
          <w:i w:val="0"/>
          <w:caps w:val="0"/>
          <w:spacing w:val="0"/>
          <w:w w:val="100"/>
          <w:sz w:val="32"/>
          <w:szCs w:val="32"/>
          <w:highlight w:val="none"/>
          <w:lang w:val="en-US" w:eastAsia="zh-CN"/>
        </w:rPr>
        <w:t>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指标完成率为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%，偏差率为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7</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7</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2"/>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2.效益指标完成情况分析</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（1）经济效益指标</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Cs/>
          <w:color w:val="auto"/>
          <w:spacing w:val="-4"/>
          <w:sz w:val="32"/>
          <w:szCs w:val="32"/>
        </w:rPr>
      </w:pPr>
      <w:r>
        <w:rPr>
          <w:rFonts w:hint="eastAsia" w:ascii="仿宋_GB2312" w:hAnsi="仿宋_GB2312" w:eastAsia="仿宋_GB2312" w:cs="仿宋_GB2312"/>
          <w:bCs/>
          <w:color w:val="auto"/>
          <w:spacing w:val="-4"/>
          <w:sz w:val="32"/>
          <w:szCs w:val="32"/>
        </w:rPr>
        <w:t>“无此项指标”。</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（2）社会效益指标</w:t>
      </w:r>
    </w:p>
    <w:p>
      <w:pPr>
        <w:pStyle w:val="8"/>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rPr>
        <w:t>项目受益户数</w:t>
      </w:r>
      <w:r>
        <w:rPr>
          <w:rFonts w:hint="eastAsia" w:ascii="仿宋_GB2312" w:hAnsi="仿宋_GB2312" w:eastAsia="仿宋_GB2312" w:cs="仿宋_GB2312"/>
          <w:color w:val="000000"/>
          <w:sz w:val="32"/>
          <w:szCs w:val="32"/>
          <w:highlight w:val="none"/>
          <w:lang w:val="en-US" w:eastAsia="zh-CN"/>
        </w:rPr>
        <w:t>（户）</w:t>
      </w:r>
      <w:r>
        <w:rPr>
          <w:rFonts w:hint="eastAsia" w:ascii="仿宋_GB2312" w:hAnsi="仿宋_GB2312" w:eastAsia="仿宋_GB2312" w:cs="仿宋_GB2312"/>
          <w:sz w:val="32"/>
          <w:szCs w:val="32"/>
          <w:highlight w:val="none"/>
        </w:rPr>
        <w:t>：年度指标值</w:t>
      </w:r>
      <w:r>
        <w:rPr>
          <w:rFonts w:hint="eastAsia" w:ascii="仿宋_GB2312" w:hAnsi="仿宋_GB2312" w:eastAsia="仿宋_GB2312" w:cs="仿宋_GB2312"/>
          <w:sz w:val="32"/>
          <w:szCs w:val="32"/>
          <w:highlight w:val="none"/>
          <w:lang w:val="en-US" w:eastAsia="zh-CN"/>
        </w:rPr>
        <w:t>大于等于4</w:t>
      </w:r>
      <w:r>
        <w:rPr>
          <w:rFonts w:hint="eastAsia" w:ascii="仿宋_GB2312" w:hAnsi="仿宋_GB2312" w:eastAsia="仿宋_GB2312" w:cs="仿宋_GB2312"/>
          <w:sz w:val="32"/>
          <w:szCs w:val="32"/>
          <w:highlight w:val="none"/>
          <w:lang w:eastAsia="zh-CN"/>
        </w:rPr>
        <w:t>户</w:t>
      </w:r>
      <w:r>
        <w:rPr>
          <w:rFonts w:hint="eastAsia" w:ascii="仿宋_GB2312" w:hAnsi="仿宋_GB2312" w:eastAsia="仿宋_GB2312" w:cs="仿宋_GB2312"/>
          <w:sz w:val="32"/>
          <w:szCs w:val="32"/>
          <w:highlight w:val="none"/>
        </w:rPr>
        <w:t>，全年实际值</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户</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Style w:val="8"/>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rPr>
        <w:t>提升监测户幸福感</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年度指标值：有所促进，全年实际值达成预期指标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（3）生态效益指标</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Cs/>
          <w:color w:val="auto"/>
          <w:spacing w:val="-4"/>
          <w:sz w:val="32"/>
          <w:szCs w:val="32"/>
        </w:rPr>
      </w:pPr>
      <w:r>
        <w:rPr>
          <w:rFonts w:hint="eastAsia" w:ascii="仿宋_GB2312" w:hAnsi="仿宋_GB2312" w:eastAsia="仿宋_GB2312" w:cs="仿宋_GB2312"/>
          <w:bCs/>
          <w:color w:val="auto"/>
          <w:spacing w:val="-4"/>
          <w:sz w:val="32"/>
          <w:szCs w:val="32"/>
        </w:rPr>
        <w:t>“无此项指标”。</w:t>
      </w:r>
    </w:p>
    <w:p>
      <w:pPr>
        <w:keepNext w:val="0"/>
        <w:keepLines w:val="0"/>
        <w:pageBreakBefore w:val="0"/>
        <w:widowControl w:val="0"/>
        <w:numPr>
          <w:ilvl w:val="0"/>
          <w:numId w:val="2"/>
        </w:numPr>
        <w:kinsoku/>
        <w:wordWrap/>
        <w:overflowPunct/>
        <w:topLinePunct w:val="0"/>
        <w:autoSpaceDE/>
        <w:autoSpaceDN/>
        <w:bidi w:val="0"/>
        <w:adjustRightInd/>
        <w:spacing w:line="520" w:lineRule="exact"/>
        <w:ind w:firstLine="643"/>
        <w:jc w:val="both"/>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可持续影响指标</w:t>
      </w:r>
    </w:p>
    <w:p>
      <w:pPr>
        <w:pStyle w:val="8"/>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highlight w:val="none"/>
        </w:rPr>
        <w:t>长期保障平稳进行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评价目标值：有效保障，</w:t>
      </w:r>
      <w:r>
        <w:rPr>
          <w:rFonts w:hint="eastAsia" w:ascii="仿宋_GB2312" w:hAnsi="仿宋_GB2312" w:eastAsia="仿宋_GB2312" w:cs="仿宋_GB2312"/>
          <w:color w:val="000000"/>
          <w:sz w:val="32"/>
          <w:szCs w:val="32"/>
          <w:highlight w:val="none"/>
        </w:rPr>
        <w:t>全年实际值</w:t>
      </w:r>
      <w:r>
        <w:rPr>
          <w:rFonts w:hint="eastAsia" w:ascii="仿宋_GB2312" w:hAnsi="仿宋_GB2312" w:eastAsia="仿宋_GB2312" w:cs="仿宋_GB2312"/>
          <w:sz w:val="32"/>
          <w:szCs w:val="32"/>
          <w:highlight w:val="none"/>
        </w:rPr>
        <w:t>：有效保障</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jc w:val="both"/>
        <w:textAlignment w:val="auto"/>
        <w:outlineLvl w:val="2"/>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3.满意度指标</w:t>
      </w:r>
    </w:p>
    <w:p>
      <w:pPr>
        <w:pStyle w:val="19"/>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outlineLvl w:val="9"/>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rPr>
        <w:t>受益群众满意度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年度指标值</w:t>
      </w:r>
      <w:r>
        <w:rPr>
          <w:rFonts w:hint="eastAsia" w:ascii="仿宋_GB2312" w:hAnsi="仿宋_GB2312" w:eastAsia="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90%，全年实际值</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Style w:val="11"/>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四</w:t>
      </w:r>
      <w:r>
        <w:rPr>
          <w:rFonts w:hint="eastAsia" w:ascii="仿宋_GB2312" w:hAnsi="仿宋_GB2312" w:eastAsia="仿宋_GB2312" w:cs="仿宋_GB2312"/>
          <w:b/>
          <w:color w:val="auto"/>
          <w:sz w:val="32"/>
          <w:szCs w:val="32"/>
        </w:rPr>
        <w:t>、偏离绩效目标的原因和下一步改进措施</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（一）偏离绩效目标的原因</w:t>
      </w:r>
    </w:p>
    <w:p>
      <w:pPr>
        <w:pStyle w:val="19"/>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 沙湾市2023年监测户人居环境整治建设项目项目的绩效目标和各项具体绩效指标已经全部达成，不存在偏离绩效目标的情况。</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（二）下一步改进措施</w:t>
      </w:r>
    </w:p>
    <w:p>
      <w:pPr>
        <w:pStyle w:val="8"/>
        <w:keepNext w:val="0"/>
        <w:keepLines w:val="0"/>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本项目按照预期内完成项目建设及资金补助，已经保障了</w:t>
      </w:r>
      <w:r>
        <w:rPr>
          <w:rFonts w:hint="eastAsia" w:ascii="仿宋_GB2312" w:hAnsi="仿宋_GB2312" w:eastAsia="仿宋_GB2312" w:cs="仿宋_GB2312"/>
          <w:sz w:val="32"/>
          <w:szCs w:val="32"/>
          <w:lang w:eastAsia="zh-CN"/>
        </w:rPr>
        <w:t>脱贫</w:t>
      </w:r>
      <w:r>
        <w:rPr>
          <w:rFonts w:hint="eastAsia" w:ascii="仿宋_GB2312" w:hAnsi="仿宋_GB2312" w:eastAsia="仿宋_GB2312" w:cs="仿宋_GB2312"/>
          <w:sz w:val="32"/>
          <w:szCs w:val="32"/>
        </w:rPr>
        <w:t>户的住房安全，改善</w:t>
      </w:r>
      <w:r>
        <w:rPr>
          <w:rFonts w:hint="eastAsia" w:ascii="仿宋_GB2312" w:hAnsi="仿宋_GB2312" w:eastAsia="仿宋_GB2312" w:cs="仿宋_GB2312"/>
          <w:sz w:val="32"/>
          <w:szCs w:val="32"/>
          <w:lang w:eastAsia="zh-CN"/>
        </w:rPr>
        <w:t>脱贫</w:t>
      </w:r>
      <w:r>
        <w:rPr>
          <w:rFonts w:hint="eastAsia" w:ascii="仿宋_GB2312" w:hAnsi="仿宋_GB2312" w:eastAsia="仿宋_GB2312" w:cs="仿宋_GB2312"/>
          <w:sz w:val="32"/>
          <w:szCs w:val="32"/>
        </w:rPr>
        <w:t>户的居住环境，实现为彻底打赢脱贫攻坚战夯实基础的目标</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 xml:space="preserve">在今后的补助项目当中对设计目标要提高设计标准，优化、细化方案，对各项指标和指标值的设定要进一步优化、完善。  </w:t>
      </w:r>
    </w:p>
    <w:p>
      <w:pPr>
        <w:pStyle w:val="8"/>
        <w:keepNext w:val="0"/>
        <w:keepLines w:val="0"/>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今后对</w:t>
      </w: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rPr>
        <w:t>项目进行跟踪管理，做好抽查巡查机制，以便使补助资金的发放发挥更大的效益。</w:t>
      </w:r>
    </w:p>
    <w:p>
      <w:pPr>
        <w:pStyle w:val="8"/>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五、绩效自评结果拟应用和公开情况</w:t>
      </w:r>
    </w:p>
    <w:p>
      <w:pPr>
        <w:pStyle w:val="8"/>
        <w:keepNext w:val="0"/>
        <w:keepLines w:val="0"/>
        <w:pageBreakBefore w:val="0"/>
        <w:widowControl w:val="0"/>
        <w:kinsoku/>
        <w:wordWrap/>
        <w:overflowPunct/>
        <w:topLinePunct w:val="0"/>
        <w:autoSpaceDE/>
        <w:autoSpaceDN/>
        <w:bidi w:val="0"/>
        <w:adjustRightInd/>
        <w:spacing w:line="520" w:lineRule="exact"/>
        <w:ind w:left="0" w:leftChars="0" w:firstLine="640" w:firstLineChars="200"/>
        <w:jc w:val="both"/>
        <w:textAlignment w:val="auto"/>
        <w:rPr>
          <w:rFonts w:hint="eastAsia" w:ascii="仿宋_GB2312" w:hAnsi="仿宋_GB2312" w:eastAsia="仿宋_GB2312" w:cs="仿宋_GB2312"/>
          <w:iCs/>
          <w:color w:val="auto"/>
          <w:sz w:val="32"/>
          <w:szCs w:val="32"/>
          <w:highlight w:val="none"/>
        </w:rPr>
      </w:pPr>
      <w:r>
        <w:rPr>
          <w:rFonts w:hint="eastAsia" w:ascii="仿宋_GB2312" w:hAnsi="仿宋_GB2312" w:eastAsia="仿宋_GB2312" w:cs="仿宋_GB2312"/>
          <w:iCs/>
          <w:color w:val="auto"/>
          <w:sz w:val="32"/>
          <w:szCs w:val="32"/>
        </w:rPr>
        <w:t>经综合评价，本项目实施达成预期指标，资金使用、管理、保障到位，严格执行</w:t>
      </w:r>
      <w:r>
        <w:rPr>
          <w:rFonts w:hint="eastAsia" w:ascii="仿宋_GB2312" w:hAnsi="仿宋_GB2312" w:eastAsia="仿宋_GB2312" w:cs="仿宋_GB2312"/>
          <w:bCs/>
          <w:color w:val="auto"/>
          <w:sz w:val="32"/>
          <w:szCs w:val="32"/>
        </w:rPr>
        <w:t>《中央财政衔接推进乡村振兴补助资金管理办法》</w:t>
      </w:r>
      <w:r>
        <w:rPr>
          <w:rFonts w:hint="eastAsia" w:ascii="仿宋_GB2312" w:hAnsi="仿宋_GB2312" w:eastAsia="仿宋_GB2312" w:cs="仿宋_GB2312"/>
          <w:iCs/>
          <w:color w:val="auto"/>
          <w:sz w:val="32"/>
          <w:szCs w:val="32"/>
        </w:rPr>
        <w:t>，能按照实施方案执行项目管理，</w:t>
      </w:r>
      <w:r>
        <w:rPr>
          <w:rFonts w:hint="eastAsia" w:ascii="仿宋_GB2312" w:hAnsi="仿宋_GB2312" w:eastAsia="仿宋_GB2312" w:cs="仿宋_GB2312"/>
          <w:iCs/>
          <w:color w:val="auto"/>
          <w:sz w:val="32"/>
          <w:szCs w:val="32"/>
          <w:highlight w:val="none"/>
        </w:rPr>
        <w:t>达成预期指标，资金使用、管理、保障到位，严格执行</w:t>
      </w:r>
      <w:r>
        <w:rPr>
          <w:rFonts w:hint="eastAsia" w:ascii="仿宋_GB2312" w:hAnsi="仿宋_GB2312" w:eastAsia="仿宋_GB2312" w:cs="仿宋_GB2312"/>
          <w:iCs/>
          <w:color w:val="auto"/>
          <w:sz w:val="32"/>
          <w:szCs w:val="32"/>
          <w:highlight w:val="none"/>
          <w:lang w:val="en-US" w:eastAsia="zh-CN"/>
        </w:rPr>
        <w:t>相关</w:t>
      </w:r>
      <w:r>
        <w:rPr>
          <w:rFonts w:hint="eastAsia" w:ascii="仿宋_GB2312" w:hAnsi="仿宋_GB2312" w:eastAsia="仿宋_GB2312" w:cs="仿宋_GB2312"/>
          <w:iCs/>
          <w:color w:val="auto"/>
          <w:sz w:val="32"/>
          <w:szCs w:val="32"/>
          <w:highlight w:val="none"/>
        </w:rPr>
        <w:t>制度，能按照实施方案执行项目管理，</w:t>
      </w:r>
      <w:r>
        <w:rPr>
          <w:rFonts w:hint="eastAsia" w:ascii="仿宋_GB2312" w:hAnsi="仿宋_GB2312" w:eastAsia="仿宋_GB2312" w:cs="仿宋_GB2312"/>
          <w:iCs/>
          <w:color w:val="auto"/>
          <w:sz w:val="32"/>
          <w:szCs w:val="32"/>
          <w:highlight w:val="none"/>
          <w:lang w:val="en-US" w:eastAsia="zh-CN"/>
        </w:rPr>
        <w:t>通过项目的实施</w:t>
      </w:r>
      <w:r>
        <w:rPr>
          <w:rFonts w:hint="eastAsia" w:ascii="仿宋_GB2312" w:hAnsi="仿宋_GB2312" w:eastAsia="仿宋_GB2312" w:cs="仿宋_GB2312"/>
          <w:iCs/>
          <w:color w:val="auto"/>
          <w:sz w:val="32"/>
          <w:szCs w:val="32"/>
          <w:highlight w:val="none"/>
          <w:lang w:eastAsia="zh-CN"/>
        </w:rPr>
        <w:t>，</w:t>
      </w:r>
      <w:r>
        <w:rPr>
          <w:rFonts w:hint="eastAsia" w:ascii="仿宋_GB2312" w:hAnsi="仿宋_GB2312" w:eastAsia="仿宋_GB2312" w:cs="仿宋_GB2312"/>
          <w:iCs/>
          <w:color w:val="auto"/>
          <w:sz w:val="32"/>
          <w:szCs w:val="32"/>
          <w:highlight w:val="none"/>
        </w:rPr>
        <w:t>改善</w:t>
      </w:r>
      <w:r>
        <w:rPr>
          <w:rFonts w:hint="eastAsia" w:ascii="仿宋_GB2312" w:hAnsi="仿宋_GB2312" w:eastAsia="仿宋_GB2312" w:cs="仿宋_GB2312"/>
          <w:iCs/>
          <w:color w:val="auto"/>
          <w:sz w:val="32"/>
          <w:szCs w:val="32"/>
          <w:highlight w:val="none"/>
          <w:lang w:val="en-US" w:eastAsia="zh-CN"/>
        </w:rPr>
        <w:t>了</w:t>
      </w:r>
      <w:r>
        <w:rPr>
          <w:rFonts w:hint="eastAsia" w:ascii="仿宋_GB2312" w:hAnsi="仿宋_GB2312" w:eastAsia="仿宋_GB2312" w:cs="仿宋_GB2312"/>
          <w:iCs/>
          <w:color w:val="auto"/>
          <w:sz w:val="32"/>
          <w:szCs w:val="32"/>
          <w:highlight w:val="none"/>
        </w:rPr>
        <w:t>所在区域的社会环境及生态环境。进而改善生活水平和居住、生活质量</w:t>
      </w:r>
      <w:r>
        <w:rPr>
          <w:rFonts w:hint="eastAsia" w:ascii="仿宋_GB2312" w:hAnsi="仿宋_GB2312" w:eastAsia="仿宋_GB2312" w:cs="仿宋_GB2312"/>
          <w:iCs/>
          <w:color w:val="auto"/>
          <w:sz w:val="32"/>
          <w:szCs w:val="32"/>
          <w:highlight w:val="none"/>
          <w:lang w:eastAsia="zh-CN"/>
        </w:rPr>
        <w:t>，</w:t>
      </w:r>
      <w:r>
        <w:rPr>
          <w:rFonts w:hint="eastAsia" w:ascii="仿宋_GB2312" w:hAnsi="仿宋_GB2312" w:eastAsia="仿宋_GB2312" w:cs="仿宋_GB2312"/>
          <w:color w:val="auto"/>
          <w:sz w:val="32"/>
          <w:szCs w:val="32"/>
        </w:rPr>
        <w:t>促</w:t>
      </w:r>
      <w:r>
        <w:rPr>
          <w:rFonts w:hint="eastAsia" w:ascii="仿宋_GB2312" w:hAnsi="仿宋_GB2312" w:eastAsia="仿宋_GB2312" w:cs="仿宋_GB2312"/>
          <w:iCs/>
          <w:color w:val="auto"/>
          <w:sz w:val="32"/>
          <w:szCs w:val="32"/>
          <w:highlight w:val="none"/>
        </w:rPr>
        <w:t>进</w:t>
      </w:r>
      <w:r>
        <w:rPr>
          <w:rFonts w:hint="eastAsia" w:ascii="仿宋_GB2312" w:hAnsi="仿宋_GB2312" w:eastAsia="仿宋_GB2312" w:cs="仿宋_GB2312"/>
          <w:iCs/>
          <w:color w:val="auto"/>
          <w:sz w:val="32"/>
          <w:szCs w:val="32"/>
          <w:highlight w:val="none"/>
          <w:lang w:val="en-US" w:eastAsia="zh-CN"/>
        </w:rPr>
        <w:t>了</w:t>
      </w:r>
      <w:r>
        <w:rPr>
          <w:rFonts w:hint="eastAsia" w:ascii="仿宋_GB2312" w:hAnsi="仿宋_GB2312" w:eastAsia="仿宋_GB2312" w:cs="仿宋_GB2312"/>
          <w:iCs/>
          <w:color w:val="auto"/>
          <w:sz w:val="32"/>
          <w:szCs w:val="32"/>
          <w:highlight w:val="none"/>
          <w:lang w:eastAsia="zh-CN"/>
        </w:rPr>
        <w:t>乡村</w:t>
      </w:r>
      <w:r>
        <w:rPr>
          <w:rFonts w:hint="eastAsia" w:ascii="仿宋_GB2312" w:hAnsi="仿宋_GB2312" w:eastAsia="仿宋_GB2312" w:cs="仿宋_GB2312"/>
          <w:iCs/>
          <w:color w:val="auto"/>
          <w:sz w:val="32"/>
          <w:szCs w:val="32"/>
          <w:highlight w:val="none"/>
        </w:rPr>
        <w:t>居民物质文明和生活质量全面提高。减少空气污染前提下，为居民提供舒适的生活空间。</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iCs/>
          <w:color w:val="auto"/>
          <w:sz w:val="32"/>
          <w:szCs w:val="32"/>
          <w:highlight w:val="none"/>
        </w:rPr>
      </w:pPr>
      <w:r>
        <w:rPr>
          <w:rFonts w:hint="eastAsia" w:ascii="仿宋_GB2312" w:hAnsi="仿宋_GB2312" w:eastAsia="仿宋_GB2312" w:cs="仿宋_GB2312"/>
          <w:iCs/>
          <w:color w:val="auto"/>
          <w:sz w:val="32"/>
          <w:szCs w:val="32"/>
          <w:highlight w:val="none"/>
        </w:rPr>
        <w:t>本项目，综合自评得分为</w:t>
      </w:r>
      <w:r>
        <w:rPr>
          <w:rFonts w:hint="eastAsia" w:ascii="仿宋_GB2312" w:hAnsi="仿宋_GB2312" w:eastAsia="仿宋_GB2312" w:cs="仿宋_GB2312"/>
          <w:iCs/>
          <w:color w:val="000000"/>
          <w:sz w:val="32"/>
          <w:szCs w:val="32"/>
          <w:highlight w:val="none"/>
          <w:lang w:val="en-US" w:eastAsia="zh-CN"/>
        </w:rPr>
        <w:t>100</w:t>
      </w:r>
      <w:r>
        <w:rPr>
          <w:rFonts w:hint="eastAsia" w:ascii="仿宋_GB2312" w:hAnsi="仿宋_GB2312" w:eastAsia="仿宋_GB2312" w:cs="仿宋_GB2312"/>
          <w:iCs/>
          <w:color w:val="auto"/>
          <w:sz w:val="32"/>
          <w:szCs w:val="32"/>
          <w:highlight w:val="none"/>
        </w:rPr>
        <w:t>分。</w:t>
      </w:r>
    </w:p>
    <w:p>
      <w:pPr>
        <w:pStyle w:val="8"/>
        <w:keepNext w:val="0"/>
        <w:keepLines w:val="0"/>
        <w:pageBreakBefore w:val="0"/>
        <w:widowControl w:val="0"/>
        <w:kinsoku/>
        <w:wordWrap/>
        <w:overflowPunct/>
        <w:topLinePunct w:val="0"/>
        <w:autoSpaceDE/>
        <w:autoSpaceDN/>
        <w:bidi w:val="0"/>
        <w:adjustRightInd/>
        <w:spacing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Cs/>
          <w:color w:val="auto"/>
          <w:sz w:val="32"/>
          <w:szCs w:val="32"/>
        </w:rPr>
        <w:t>本项目绩效自评报告将按照规定要求，通过门户网站或张榜公示等方式向社会公开，接受社会监督。</w:t>
      </w:r>
    </w:p>
    <w:sectPr>
      <w:footerReference r:id="rId3" w:type="default"/>
      <w:pgSz w:w="11906" w:h="16838"/>
      <w:pgMar w:top="2098" w:right="1417" w:bottom="198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0E38DE-3B8A-4195-9396-15318B5DA5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611C8CB-B834-4005-8E3E-498818816552}"/>
  </w:font>
  <w:font w:name="仿宋_GB2312">
    <w:panose1 w:val="02010609030101010101"/>
    <w:charset w:val="86"/>
    <w:family w:val="auto"/>
    <w:pitch w:val="default"/>
    <w:sig w:usb0="00000001" w:usb1="080E0000" w:usb2="00000000" w:usb3="00000000" w:csb0="00040000" w:csb1="00000000"/>
    <w:embedRegular r:id="rId3" w:fontKey="{F565985B-1D21-4202-A278-3B96F851B99B}"/>
  </w:font>
  <w:font w:name="方正小标宋_GBK">
    <w:panose1 w:val="02000000000000000000"/>
    <w:charset w:val="86"/>
    <w:family w:val="auto"/>
    <w:pitch w:val="default"/>
    <w:sig w:usb0="A00002BF" w:usb1="38CF7CFA" w:usb2="00082016" w:usb3="00000000" w:csb0="00040001" w:csb1="00000000"/>
    <w:embedRegular r:id="rId4" w:fontKey="{76877912-D250-4D1A-8D01-01EE665CD8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3</w: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2FBF8D"/>
    <w:multiLevelType w:val="singleLevel"/>
    <w:tmpl w:val="882FBF8D"/>
    <w:lvl w:ilvl="0" w:tentative="0">
      <w:start w:val="2"/>
      <w:numFmt w:val="decimal"/>
      <w:lvlText w:val="%1."/>
      <w:lvlJc w:val="left"/>
      <w:pPr>
        <w:tabs>
          <w:tab w:val="left" w:pos="312"/>
        </w:tabs>
      </w:pPr>
    </w:lvl>
  </w:abstractNum>
  <w:abstractNum w:abstractNumId="1">
    <w:nsid w:val="20A01AD1"/>
    <w:multiLevelType w:val="singleLevel"/>
    <w:tmpl w:val="20A01AD1"/>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WZmNzRjOWZiMTRhOTQzNTAxZmRjYzYxZTQ5OGM1ZTIifQ=="/>
  </w:docVars>
  <w:rsids>
    <w:rsidRoot w:val="00477BED"/>
    <w:rsid w:val="000635A2"/>
    <w:rsid w:val="00076C79"/>
    <w:rsid w:val="000A5A76"/>
    <w:rsid w:val="000D439B"/>
    <w:rsid w:val="000E59AC"/>
    <w:rsid w:val="00101E48"/>
    <w:rsid w:val="001157CD"/>
    <w:rsid w:val="001510A9"/>
    <w:rsid w:val="00164B84"/>
    <w:rsid w:val="001866F7"/>
    <w:rsid w:val="001C04CF"/>
    <w:rsid w:val="001D316D"/>
    <w:rsid w:val="001E307F"/>
    <w:rsid w:val="001E7FF6"/>
    <w:rsid w:val="001F1A6C"/>
    <w:rsid w:val="002431FF"/>
    <w:rsid w:val="00244CE7"/>
    <w:rsid w:val="00262BB2"/>
    <w:rsid w:val="002B12DE"/>
    <w:rsid w:val="002B6039"/>
    <w:rsid w:val="002E6EE1"/>
    <w:rsid w:val="0031466F"/>
    <w:rsid w:val="00350956"/>
    <w:rsid w:val="00362FEA"/>
    <w:rsid w:val="003A15F4"/>
    <w:rsid w:val="004041FF"/>
    <w:rsid w:val="004167C2"/>
    <w:rsid w:val="00425639"/>
    <w:rsid w:val="004611E5"/>
    <w:rsid w:val="00477BED"/>
    <w:rsid w:val="00481536"/>
    <w:rsid w:val="004A3CCC"/>
    <w:rsid w:val="004B718E"/>
    <w:rsid w:val="004D5AD8"/>
    <w:rsid w:val="00504210"/>
    <w:rsid w:val="00525C9E"/>
    <w:rsid w:val="00531CF5"/>
    <w:rsid w:val="00564F9E"/>
    <w:rsid w:val="0057435B"/>
    <w:rsid w:val="00590CF1"/>
    <w:rsid w:val="005B2ED5"/>
    <w:rsid w:val="005C3F39"/>
    <w:rsid w:val="005E6AC9"/>
    <w:rsid w:val="00607882"/>
    <w:rsid w:val="00622812"/>
    <w:rsid w:val="00632633"/>
    <w:rsid w:val="00637041"/>
    <w:rsid w:val="00673E8D"/>
    <w:rsid w:val="00687AB4"/>
    <w:rsid w:val="00691762"/>
    <w:rsid w:val="006B7D94"/>
    <w:rsid w:val="006E2ADE"/>
    <w:rsid w:val="006F0EF4"/>
    <w:rsid w:val="00720B35"/>
    <w:rsid w:val="007577AB"/>
    <w:rsid w:val="00773F9C"/>
    <w:rsid w:val="0077493A"/>
    <w:rsid w:val="007E27EC"/>
    <w:rsid w:val="007E5B8D"/>
    <w:rsid w:val="007F6575"/>
    <w:rsid w:val="008142E8"/>
    <w:rsid w:val="0082407E"/>
    <w:rsid w:val="00844DAC"/>
    <w:rsid w:val="0084710D"/>
    <w:rsid w:val="0085105A"/>
    <w:rsid w:val="0085754A"/>
    <w:rsid w:val="00866CCE"/>
    <w:rsid w:val="008C17FA"/>
    <w:rsid w:val="008E2DE1"/>
    <w:rsid w:val="009355FA"/>
    <w:rsid w:val="0096053C"/>
    <w:rsid w:val="009778BB"/>
    <w:rsid w:val="00980784"/>
    <w:rsid w:val="0098475C"/>
    <w:rsid w:val="009867F1"/>
    <w:rsid w:val="009B148D"/>
    <w:rsid w:val="009F314D"/>
    <w:rsid w:val="009F753E"/>
    <w:rsid w:val="00A03DF1"/>
    <w:rsid w:val="00A17134"/>
    <w:rsid w:val="00A801EE"/>
    <w:rsid w:val="00AB72EF"/>
    <w:rsid w:val="00AB7982"/>
    <w:rsid w:val="00B02131"/>
    <w:rsid w:val="00B133B4"/>
    <w:rsid w:val="00B7041E"/>
    <w:rsid w:val="00B73CAC"/>
    <w:rsid w:val="00B85DDB"/>
    <w:rsid w:val="00BA2783"/>
    <w:rsid w:val="00BB675A"/>
    <w:rsid w:val="00BD30BB"/>
    <w:rsid w:val="00C111A9"/>
    <w:rsid w:val="00C169DE"/>
    <w:rsid w:val="00C57DE3"/>
    <w:rsid w:val="00C869CB"/>
    <w:rsid w:val="00C9484E"/>
    <w:rsid w:val="00CA3978"/>
    <w:rsid w:val="00CA4236"/>
    <w:rsid w:val="00D0710E"/>
    <w:rsid w:val="00D3237E"/>
    <w:rsid w:val="00D62509"/>
    <w:rsid w:val="00D7602C"/>
    <w:rsid w:val="00D91433"/>
    <w:rsid w:val="00D9581A"/>
    <w:rsid w:val="00DA0168"/>
    <w:rsid w:val="00E03900"/>
    <w:rsid w:val="00E11135"/>
    <w:rsid w:val="00E1166D"/>
    <w:rsid w:val="00E36AAD"/>
    <w:rsid w:val="00E94F02"/>
    <w:rsid w:val="00EA3B19"/>
    <w:rsid w:val="00EA65B9"/>
    <w:rsid w:val="00EC26DC"/>
    <w:rsid w:val="00EE57E9"/>
    <w:rsid w:val="00F76C6F"/>
    <w:rsid w:val="00FB1E09"/>
    <w:rsid w:val="00FB6DDD"/>
    <w:rsid w:val="00FE5DD3"/>
    <w:rsid w:val="013F1246"/>
    <w:rsid w:val="01484C81"/>
    <w:rsid w:val="01B82838"/>
    <w:rsid w:val="021252F8"/>
    <w:rsid w:val="04D836D0"/>
    <w:rsid w:val="04DE101D"/>
    <w:rsid w:val="05356534"/>
    <w:rsid w:val="062866AB"/>
    <w:rsid w:val="068A151F"/>
    <w:rsid w:val="06FF227F"/>
    <w:rsid w:val="0775008D"/>
    <w:rsid w:val="07DD21AF"/>
    <w:rsid w:val="0811193C"/>
    <w:rsid w:val="08563864"/>
    <w:rsid w:val="085F5D7F"/>
    <w:rsid w:val="087D3A94"/>
    <w:rsid w:val="08A8436F"/>
    <w:rsid w:val="08C933D8"/>
    <w:rsid w:val="08F54E1F"/>
    <w:rsid w:val="093259F3"/>
    <w:rsid w:val="09913E17"/>
    <w:rsid w:val="0A375730"/>
    <w:rsid w:val="0B530AC9"/>
    <w:rsid w:val="0B804FD7"/>
    <w:rsid w:val="0C293915"/>
    <w:rsid w:val="0F40581B"/>
    <w:rsid w:val="10345B46"/>
    <w:rsid w:val="10C671FB"/>
    <w:rsid w:val="10E93E90"/>
    <w:rsid w:val="11826F8A"/>
    <w:rsid w:val="126F7391"/>
    <w:rsid w:val="12900B58"/>
    <w:rsid w:val="130D64A2"/>
    <w:rsid w:val="147C1B29"/>
    <w:rsid w:val="149B7734"/>
    <w:rsid w:val="14FE5E73"/>
    <w:rsid w:val="16AC4E5E"/>
    <w:rsid w:val="16DE521B"/>
    <w:rsid w:val="180343EB"/>
    <w:rsid w:val="1870263E"/>
    <w:rsid w:val="18835A91"/>
    <w:rsid w:val="1C7329F1"/>
    <w:rsid w:val="1D8D52D6"/>
    <w:rsid w:val="1E601556"/>
    <w:rsid w:val="1F203647"/>
    <w:rsid w:val="20B27232"/>
    <w:rsid w:val="20CC311F"/>
    <w:rsid w:val="21A31C30"/>
    <w:rsid w:val="231A3433"/>
    <w:rsid w:val="234174BA"/>
    <w:rsid w:val="245A462F"/>
    <w:rsid w:val="247C0DC3"/>
    <w:rsid w:val="24CC7E8F"/>
    <w:rsid w:val="25635673"/>
    <w:rsid w:val="25E237FF"/>
    <w:rsid w:val="26D75013"/>
    <w:rsid w:val="2766466B"/>
    <w:rsid w:val="27851253"/>
    <w:rsid w:val="27FC1492"/>
    <w:rsid w:val="28382C23"/>
    <w:rsid w:val="28C234B9"/>
    <w:rsid w:val="29074326"/>
    <w:rsid w:val="29A44584"/>
    <w:rsid w:val="2A0A292C"/>
    <w:rsid w:val="2A2C02EA"/>
    <w:rsid w:val="2AF6579E"/>
    <w:rsid w:val="2B424747"/>
    <w:rsid w:val="2C2A56DC"/>
    <w:rsid w:val="2D992BED"/>
    <w:rsid w:val="2FFA732F"/>
    <w:rsid w:val="30FC580C"/>
    <w:rsid w:val="30FD5D6F"/>
    <w:rsid w:val="32611749"/>
    <w:rsid w:val="32FC739D"/>
    <w:rsid w:val="33294694"/>
    <w:rsid w:val="3373180F"/>
    <w:rsid w:val="33974A65"/>
    <w:rsid w:val="34E7513E"/>
    <w:rsid w:val="35623DE4"/>
    <w:rsid w:val="35723D4D"/>
    <w:rsid w:val="35B45C86"/>
    <w:rsid w:val="360B3381"/>
    <w:rsid w:val="3679623C"/>
    <w:rsid w:val="36FC0C18"/>
    <w:rsid w:val="374544A5"/>
    <w:rsid w:val="3765282F"/>
    <w:rsid w:val="37966E9D"/>
    <w:rsid w:val="38B811F7"/>
    <w:rsid w:val="39B95BC6"/>
    <w:rsid w:val="3A265D29"/>
    <w:rsid w:val="3A644887"/>
    <w:rsid w:val="3C24616D"/>
    <w:rsid w:val="3D185B36"/>
    <w:rsid w:val="40284A51"/>
    <w:rsid w:val="40D8661F"/>
    <w:rsid w:val="411671AB"/>
    <w:rsid w:val="41615490"/>
    <w:rsid w:val="41B3224E"/>
    <w:rsid w:val="42635443"/>
    <w:rsid w:val="42881B73"/>
    <w:rsid w:val="42C41CE4"/>
    <w:rsid w:val="42EC6A00"/>
    <w:rsid w:val="432B28DF"/>
    <w:rsid w:val="43964C28"/>
    <w:rsid w:val="43D752E4"/>
    <w:rsid w:val="44123161"/>
    <w:rsid w:val="46736836"/>
    <w:rsid w:val="46A462C3"/>
    <w:rsid w:val="46DA1FA5"/>
    <w:rsid w:val="48A10D2F"/>
    <w:rsid w:val="4B1D66AD"/>
    <w:rsid w:val="4B652BCD"/>
    <w:rsid w:val="4BF34932"/>
    <w:rsid w:val="4CE332BC"/>
    <w:rsid w:val="4D8F554E"/>
    <w:rsid w:val="4F0423DC"/>
    <w:rsid w:val="4F41037F"/>
    <w:rsid w:val="4FBC5B56"/>
    <w:rsid w:val="4FBF090F"/>
    <w:rsid w:val="529C3F04"/>
    <w:rsid w:val="546D5D37"/>
    <w:rsid w:val="54F92511"/>
    <w:rsid w:val="550106AB"/>
    <w:rsid w:val="581C1E69"/>
    <w:rsid w:val="59385552"/>
    <w:rsid w:val="5A5844D1"/>
    <w:rsid w:val="5B127569"/>
    <w:rsid w:val="5B8337A3"/>
    <w:rsid w:val="5B9655EE"/>
    <w:rsid w:val="5C0C2362"/>
    <w:rsid w:val="5CA066E2"/>
    <w:rsid w:val="5CDC596D"/>
    <w:rsid w:val="5DA35E7E"/>
    <w:rsid w:val="5E517D5D"/>
    <w:rsid w:val="5F0A38BC"/>
    <w:rsid w:val="5F860125"/>
    <w:rsid w:val="60565B67"/>
    <w:rsid w:val="60B66CB8"/>
    <w:rsid w:val="61F17DCD"/>
    <w:rsid w:val="651B358E"/>
    <w:rsid w:val="651F3ADB"/>
    <w:rsid w:val="65246B24"/>
    <w:rsid w:val="65F81D11"/>
    <w:rsid w:val="663D1E8A"/>
    <w:rsid w:val="66E519D9"/>
    <w:rsid w:val="67421AB3"/>
    <w:rsid w:val="67921C85"/>
    <w:rsid w:val="67A105D0"/>
    <w:rsid w:val="67AE693B"/>
    <w:rsid w:val="67E53C8C"/>
    <w:rsid w:val="68A439CF"/>
    <w:rsid w:val="68B32F0E"/>
    <w:rsid w:val="6A282B5D"/>
    <w:rsid w:val="6A893829"/>
    <w:rsid w:val="6BBF57BF"/>
    <w:rsid w:val="6BDD0871"/>
    <w:rsid w:val="6DFD7E2A"/>
    <w:rsid w:val="6E0F0436"/>
    <w:rsid w:val="6E1D4216"/>
    <w:rsid w:val="6EE2762C"/>
    <w:rsid w:val="6F563FF7"/>
    <w:rsid w:val="6FC17085"/>
    <w:rsid w:val="6FDB2D58"/>
    <w:rsid w:val="7116043B"/>
    <w:rsid w:val="72C014DE"/>
    <w:rsid w:val="73FFCD02"/>
    <w:rsid w:val="74EC42B5"/>
    <w:rsid w:val="76DB2C18"/>
    <w:rsid w:val="77012BAA"/>
    <w:rsid w:val="77240AD1"/>
    <w:rsid w:val="777E08F4"/>
    <w:rsid w:val="77B50195"/>
    <w:rsid w:val="77FB44DB"/>
    <w:rsid w:val="784F295E"/>
    <w:rsid w:val="79582BCA"/>
    <w:rsid w:val="79AE5E4E"/>
    <w:rsid w:val="7A616B9A"/>
    <w:rsid w:val="7AE709F8"/>
    <w:rsid w:val="7B89572E"/>
    <w:rsid w:val="7CA2627A"/>
    <w:rsid w:val="7CE97A31"/>
    <w:rsid w:val="7E14097C"/>
    <w:rsid w:val="7EFA2BCB"/>
    <w:rsid w:val="7FE14E5A"/>
    <w:rsid w:val="7FEF24D9"/>
    <w:rsid w:val="7FF743A7"/>
    <w:rsid w:val="7FFB3AD6"/>
    <w:rsid w:val="C7EA51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paragraph" w:styleId="2">
    <w:name w:val="heading 3"/>
    <w:basedOn w:val="1"/>
    <w:next w:val="1"/>
    <w:autoRedefine/>
    <w:qFormat/>
    <w:uiPriority w:val="99"/>
    <w:pPr>
      <w:keepNext/>
      <w:keepLines/>
      <w:ind w:firstLine="883"/>
      <w:outlineLvl w:val="2"/>
    </w:pPr>
    <w:rPr>
      <w:rFonts w:ascii="仿宋_GB2312" w:hAnsi="仿宋_GB2312"/>
      <w:b/>
      <w:bCs/>
      <w:kern w:val="0"/>
      <w:szCs w:val="32"/>
    </w:rPr>
  </w:style>
  <w:style w:type="paragraph" w:styleId="3">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4">
    <w:name w:val="annotation text"/>
    <w:basedOn w:val="1"/>
    <w:autoRedefine/>
    <w:unhideWhenUsed/>
    <w:qFormat/>
    <w:uiPriority w:val="99"/>
    <w:pPr>
      <w:jc w:val="left"/>
    </w:pPr>
  </w:style>
  <w:style w:type="paragraph" w:styleId="5">
    <w:name w:val="Balloon Text"/>
    <w:basedOn w:val="1"/>
    <w:link w:val="14"/>
    <w:autoRedefine/>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3"/>
    <w:autoRedefine/>
    <w:unhideWhenUsed/>
    <w:qFormat/>
    <w:uiPriority w:val="99"/>
    <w:pPr>
      <w:snapToGrid w:val="0"/>
      <w:jc w:val="left"/>
    </w:pPr>
    <w:rPr>
      <w:rFonts w:ascii="Calibri" w:hAnsi="Calibri" w:eastAsia="宋体" w:cs="Times New Roman"/>
      <w:sz w:val="18"/>
      <w:szCs w:val="18"/>
    </w:rPr>
  </w:style>
  <w:style w:type="character" w:styleId="11">
    <w:name w:val="Strong"/>
    <w:basedOn w:val="10"/>
    <w:autoRedefine/>
    <w:qFormat/>
    <w:uiPriority w:val="0"/>
    <w:rPr>
      <w:rFonts w:cs="Times New Roman"/>
      <w:b/>
      <w:bCs/>
    </w:rPr>
  </w:style>
  <w:style w:type="character" w:styleId="12">
    <w:name w:val="annotation reference"/>
    <w:basedOn w:val="10"/>
    <w:autoRedefine/>
    <w:unhideWhenUsed/>
    <w:qFormat/>
    <w:uiPriority w:val="99"/>
    <w:rPr>
      <w:sz w:val="21"/>
      <w:szCs w:val="21"/>
    </w:rPr>
  </w:style>
  <w:style w:type="character" w:customStyle="1" w:styleId="13">
    <w:name w:val="脚注文本 Char"/>
    <w:basedOn w:val="10"/>
    <w:link w:val="8"/>
    <w:autoRedefine/>
    <w:qFormat/>
    <w:uiPriority w:val="99"/>
    <w:rPr>
      <w:rFonts w:ascii="Calibri" w:hAnsi="Calibri" w:eastAsia="宋体" w:cs="Times New Roman"/>
      <w:sz w:val="18"/>
      <w:szCs w:val="18"/>
    </w:rPr>
  </w:style>
  <w:style w:type="character" w:customStyle="1" w:styleId="14">
    <w:name w:val="批注框文本 Char"/>
    <w:basedOn w:val="10"/>
    <w:link w:val="5"/>
    <w:autoRedefine/>
    <w:semiHidden/>
    <w:qFormat/>
    <w:uiPriority w:val="99"/>
    <w:rPr>
      <w:kern w:val="2"/>
      <w:sz w:val="18"/>
      <w:szCs w:val="18"/>
    </w:rPr>
  </w:style>
  <w:style w:type="character" w:customStyle="1" w:styleId="15">
    <w:name w:val="页眉 Char"/>
    <w:basedOn w:val="10"/>
    <w:link w:val="7"/>
    <w:autoRedefine/>
    <w:qFormat/>
    <w:uiPriority w:val="99"/>
    <w:rPr>
      <w:rFonts w:ascii="Calibri" w:hAnsi="Calibri" w:eastAsia="宋体" w:cs="黑体"/>
      <w:kern w:val="2"/>
      <w:sz w:val="18"/>
      <w:szCs w:val="18"/>
    </w:rPr>
  </w:style>
  <w:style w:type="character" w:customStyle="1" w:styleId="16">
    <w:name w:val="页脚 Char"/>
    <w:basedOn w:val="10"/>
    <w:link w:val="6"/>
    <w:autoRedefine/>
    <w:qFormat/>
    <w:uiPriority w:val="99"/>
    <w:rPr>
      <w:rFonts w:ascii="Calibri" w:hAnsi="Calibri" w:eastAsia="宋体" w:cs="黑体"/>
      <w:kern w:val="2"/>
      <w:sz w:val="18"/>
      <w:szCs w:val="18"/>
    </w:rPr>
  </w:style>
  <w:style w:type="character" w:customStyle="1" w:styleId="17">
    <w:name w:val="font21"/>
    <w:basedOn w:val="10"/>
    <w:autoRedefine/>
    <w:qFormat/>
    <w:uiPriority w:val="0"/>
    <w:rPr>
      <w:rFonts w:hint="eastAsia" w:ascii="宋体" w:hAnsi="宋体" w:eastAsia="宋体" w:cs="宋体"/>
      <w:color w:val="000000"/>
      <w:sz w:val="20"/>
      <w:szCs w:val="20"/>
      <w:u w:val="none"/>
    </w:rPr>
  </w:style>
  <w:style w:type="paragraph" w:customStyle="1" w:styleId="18">
    <w:name w:val="Body text|5"/>
    <w:basedOn w:val="1"/>
    <w:autoRedefine/>
    <w:qFormat/>
    <w:uiPriority w:val="0"/>
    <w:pPr>
      <w:spacing w:after="320"/>
      <w:ind w:firstLine="740"/>
    </w:pPr>
    <w:rPr>
      <w:sz w:val="26"/>
      <w:szCs w:val="26"/>
      <w:lang w:val="zh-TW" w:eastAsia="zh-TW" w:bidi="zh-TW"/>
    </w:rPr>
  </w:style>
  <w:style w:type="paragraph" w:customStyle="1" w:styleId="19">
    <w:name w:val="Body text|1"/>
    <w:basedOn w:val="1"/>
    <w:autoRedefine/>
    <w:qFormat/>
    <w:uiPriority w:val="0"/>
    <w:pPr>
      <w:spacing w:after="280" w:line="401" w:lineRule="auto"/>
      <w:ind w:firstLine="400"/>
    </w:pPr>
    <w:rPr>
      <w:rFonts w:ascii="宋体" w:hAnsi="宋体" w:eastAsia="宋体" w:cs="宋体"/>
      <w:sz w:val="26"/>
      <w:szCs w:val="26"/>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2012dnd.com</Company>
  <Pages>9</Pages>
  <Words>501</Words>
  <Characters>2859</Characters>
  <Lines>23</Lines>
  <Paragraphs>6</Paragraphs>
  <TotalTime>9</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2020-05-04T10:32:00Z</dcterms:created>
  <dc:creator>zhangyanping</dc:creator>
  <cp:lastModifiedBy>放任时光飞逝</cp:lastModifiedBy>
  <cp:lastPrinted>2019-11-29T19:32:00Z</cp:lastPrinted>
  <dcterms:modified xsi:type="dcterms:W3CDTF">2024-03-13T15:28:39Z</dcterms:modified>
  <dc:title>塔城市阿不都拉乡2021年财政专项扶贫资金绩效自评总结报告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24BCDAAF10B146FD809FDFE27C77D7D5</vt:lpwstr>
  </property>
</Properties>
</file>